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C44BCE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097209">
        <w:rPr>
          <w:b/>
          <w:sz w:val="28"/>
          <w:szCs w:val="28"/>
        </w:rPr>
        <w:t>17</w:t>
      </w:r>
      <w:r w:rsidR="007F035E" w:rsidRPr="009674B6">
        <w:rPr>
          <w:b/>
          <w:sz w:val="28"/>
          <w:szCs w:val="28"/>
        </w:rPr>
        <w:t>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«БАЯНДАЕВСКИЙ РАЙОН»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69795A">
        <w:rPr>
          <w:b/>
          <w:sz w:val="28"/>
          <w:szCs w:val="28"/>
        </w:rPr>
        <w:t>4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69795A">
        <w:rPr>
          <w:b/>
          <w:sz w:val="28"/>
          <w:szCs w:val="28"/>
        </w:rPr>
        <w:t>5</w:t>
      </w:r>
      <w:proofErr w:type="gramStart"/>
      <w:r w:rsidRPr="009674B6">
        <w:rPr>
          <w:b/>
          <w:sz w:val="28"/>
          <w:szCs w:val="28"/>
        </w:rPr>
        <w:t xml:space="preserve"> И</w:t>
      </w:r>
      <w:proofErr w:type="gramEnd"/>
      <w:r w:rsidRPr="009674B6">
        <w:rPr>
          <w:b/>
          <w:sz w:val="28"/>
          <w:szCs w:val="28"/>
        </w:rPr>
        <w:t xml:space="preserve"> 201</w:t>
      </w:r>
      <w:r w:rsidR="0069795A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ГОДОВ»</w:t>
      </w:r>
    </w:p>
    <w:p w:rsidR="00274A15" w:rsidRPr="009102E2" w:rsidRDefault="00274A15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1275E8" w:rsidRPr="001275E8">
        <w:rPr>
          <w:b/>
        </w:rPr>
        <w:t>2</w:t>
      </w:r>
      <w:r w:rsidR="005A1395">
        <w:rPr>
          <w:b/>
        </w:rPr>
        <w:t>8</w:t>
      </w:r>
      <w:r w:rsidR="00274A15" w:rsidRPr="001275E8">
        <w:rPr>
          <w:b/>
        </w:rPr>
        <w:t xml:space="preserve">» </w:t>
      </w:r>
      <w:r w:rsidR="002D566B" w:rsidRPr="001275E8">
        <w:rPr>
          <w:b/>
        </w:rPr>
        <w:t>ноя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5A1395">
        <w:rPr>
          <w:b/>
        </w:rPr>
        <w:t>3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по экспертизе проекта решения Думы МО «Баяндаевский район»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915784">
        <w:rPr>
          <w:sz w:val="28"/>
        </w:rPr>
        <w:t>4</w:t>
      </w:r>
      <w:r>
        <w:rPr>
          <w:sz w:val="28"/>
        </w:rPr>
        <w:t xml:space="preserve"> год и плановый период 201</w:t>
      </w:r>
      <w:r w:rsidR="00915784">
        <w:rPr>
          <w:sz w:val="28"/>
        </w:rPr>
        <w:t>5</w:t>
      </w:r>
      <w:r>
        <w:rPr>
          <w:sz w:val="28"/>
        </w:rPr>
        <w:t xml:space="preserve"> и 201</w:t>
      </w:r>
      <w:r w:rsidR="00915784">
        <w:rPr>
          <w:sz w:val="28"/>
        </w:rPr>
        <w:t>6</w:t>
      </w:r>
      <w:r>
        <w:rPr>
          <w:sz w:val="28"/>
        </w:rPr>
        <w:t xml:space="preserve"> годов» составлено</w:t>
      </w:r>
      <w:proofErr w:type="gramStart"/>
      <w:r>
        <w:rPr>
          <w:sz w:val="28"/>
        </w:rPr>
        <w:t xml:space="preserve">  К</w:t>
      </w:r>
      <w:proofErr w:type="gramEnd"/>
      <w:r>
        <w:rPr>
          <w:sz w:val="28"/>
        </w:rPr>
        <w:t>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4E7017">
        <w:rPr>
          <w:sz w:val="28"/>
          <w:szCs w:val="28"/>
        </w:rPr>
        <w:t xml:space="preserve">статьей </w:t>
      </w:r>
      <w:r w:rsidR="00D43E4A" w:rsidRPr="004E7017">
        <w:rPr>
          <w:sz w:val="28"/>
          <w:szCs w:val="28"/>
        </w:rPr>
        <w:t>27</w:t>
      </w:r>
      <w:r w:rsidRPr="004E7017">
        <w:rPr>
          <w:sz w:val="28"/>
          <w:szCs w:val="28"/>
        </w:rPr>
        <w:t xml:space="preserve"> Положения о бюджетном процессе в </w:t>
      </w:r>
      <w:r w:rsidR="006F2946" w:rsidRPr="004E7017">
        <w:rPr>
          <w:sz w:val="28"/>
          <w:szCs w:val="28"/>
        </w:rPr>
        <w:t>МО «</w:t>
      </w:r>
      <w:r w:rsidRPr="004E7017">
        <w:rPr>
          <w:sz w:val="28"/>
          <w:szCs w:val="28"/>
        </w:rPr>
        <w:t>Баяндаевск</w:t>
      </w:r>
      <w:r w:rsidR="006F2946" w:rsidRPr="004E7017">
        <w:rPr>
          <w:sz w:val="28"/>
          <w:szCs w:val="28"/>
        </w:rPr>
        <w:t>ий</w:t>
      </w:r>
      <w:r w:rsidRPr="004E7017">
        <w:rPr>
          <w:sz w:val="28"/>
          <w:szCs w:val="28"/>
        </w:rPr>
        <w:t xml:space="preserve"> район</w:t>
      </w:r>
      <w:r w:rsidR="006F2946" w:rsidRPr="004E7017">
        <w:rPr>
          <w:sz w:val="28"/>
          <w:szCs w:val="28"/>
        </w:rPr>
        <w:t>»</w:t>
      </w:r>
      <w:r w:rsidRPr="004E7017">
        <w:rPr>
          <w:sz w:val="28"/>
          <w:szCs w:val="28"/>
        </w:rPr>
        <w:t>, утвержденного</w:t>
      </w:r>
      <w:r w:rsidRPr="00915784">
        <w:rPr>
          <w:color w:val="FF0000"/>
          <w:sz w:val="28"/>
          <w:szCs w:val="28"/>
        </w:rPr>
        <w:t xml:space="preserve"> </w:t>
      </w:r>
      <w:r w:rsidR="004E7017" w:rsidRPr="00C5552D">
        <w:rPr>
          <w:sz w:val="28"/>
        </w:rPr>
        <w:t>решением Думы района от 24.12.2012г. №32/4</w:t>
      </w:r>
      <w:r>
        <w:rPr>
          <w:sz w:val="28"/>
          <w:szCs w:val="28"/>
        </w:rPr>
        <w:t xml:space="preserve"> и </w:t>
      </w:r>
      <w:r>
        <w:rPr>
          <w:sz w:val="28"/>
        </w:rPr>
        <w:t xml:space="preserve">на основании  обращения </w:t>
      </w:r>
      <w:r w:rsidR="00915784">
        <w:rPr>
          <w:sz w:val="28"/>
        </w:rPr>
        <w:t>председателя Думы</w:t>
      </w:r>
      <w:r w:rsidR="00AC221A">
        <w:rPr>
          <w:sz w:val="28"/>
        </w:rPr>
        <w:t xml:space="preserve">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</w:t>
      </w:r>
      <w:r w:rsidRPr="00D81528">
        <w:rPr>
          <w:sz w:val="28"/>
        </w:rPr>
        <w:t>1</w:t>
      </w:r>
      <w:r w:rsidR="00915784">
        <w:rPr>
          <w:sz w:val="28"/>
        </w:rPr>
        <w:t>8</w:t>
      </w:r>
      <w:r w:rsidRPr="00D81528">
        <w:rPr>
          <w:sz w:val="28"/>
        </w:rPr>
        <w:t>.11.201</w:t>
      </w:r>
      <w:r w:rsidR="00915784">
        <w:rPr>
          <w:sz w:val="28"/>
        </w:rPr>
        <w:t>3</w:t>
      </w:r>
      <w:r w:rsidR="00AC221A">
        <w:rPr>
          <w:sz w:val="28"/>
        </w:rPr>
        <w:t>г.</w:t>
      </w:r>
    </w:p>
    <w:p w:rsidR="00915784" w:rsidRPr="009102E2" w:rsidRDefault="00915784" w:rsidP="00274A15">
      <w:pPr>
        <w:ind w:firstLine="567"/>
        <w:jc w:val="both"/>
        <w:rPr>
          <w:sz w:val="28"/>
        </w:rPr>
      </w:pP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CC146F" w:rsidRPr="00CC146F" w:rsidRDefault="00CC146F" w:rsidP="00CC146F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«Баяндаевский район»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F72E29">
        <w:rPr>
          <w:sz w:val="28"/>
        </w:rPr>
        <w:t>4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</w:t>
      </w:r>
      <w:r w:rsidR="00F72E29">
        <w:rPr>
          <w:sz w:val="28"/>
        </w:rPr>
        <w:t>5</w:t>
      </w:r>
      <w:r w:rsidR="00014727">
        <w:rPr>
          <w:sz w:val="28"/>
        </w:rPr>
        <w:t xml:space="preserve"> и 201</w:t>
      </w:r>
      <w:r w:rsidR="00F72E29">
        <w:rPr>
          <w:sz w:val="28"/>
        </w:rPr>
        <w:t>6</w:t>
      </w:r>
      <w:r w:rsidR="00014727">
        <w:rPr>
          <w:sz w:val="28"/>
        </w:rPr>
        <w:t xml:space="preserve"> годов</w:t>
      </w:r>
      <w:r w:rsidRPr="009102E2">
        <w:rPr>
          <w:sz w:val="28"/>
        </w:rPr>
        <w:t>» (далее</w:t>
      </w:r>
      <w:proofErr w:type="gramEnd"/>
      <w:r w:rsidRPr="009102E2">
        <w:rPr>
          <w:sz w:val="28"/>
        </w:rPr>
        <w:t xml:space="preserve"> - </w:t>
      </w:r>
      <w:proofErr w:type="gramStart"/>
      <w:r w:rsidRPr="009102E2">
        <w:rPr>
          <w:sz w:val="28"/>
        </w:rPr>
        <w:t xml:space="preserve">Заключение) подготовлено в соответствии с  Бюджетным кодексом Российской Федерации, </w:t>
      </w:r>
      <w:r w:rsidR="00D70AAA" w:rsidRPr="00C5552D">
        <w:rPr>
          <w:sz w:val="28"/>
        </w:rPr>
        <w:t xml:space="preserve">Положением о бюджетном процессе в муниципальном образовании «Баяндаевский район», утвержденным </w:t>
      </w:r>
      <w:r w:rsidR="00C5552D" w:rsidRPr="00C5552D">
        <w:rPr>
          <w:sz w:val="28"/>
        </w:rPr>
        <w:t xml:space="preserve">решением Думы </w:t>
      </w:r>
      <w:r w:rsidR="00D70AAA" w:rsidRPr="00C5552D">
        <w:rPr>
          <w:sz w:val="28"/>
        </w:rPr>
        <w:t xml:space="preserve">района от </w:t>
      </w:r>
      <w:r w:rsidR="00C5552D" w:rsidRPr="00C5552D">
        <w:rPr>
          <w:sz w:val="28"/>
        </w:rPr>
        <w:t>24</w:t>
      </w:r>
      <w:r w:rsidR="00D70AAA" w:rsidRPr="00C5552D">
        <w:rPr>
          <w:sz w:val="28"/>
        </w:rPr>
        <w:t>.1</w:t>
      </w:r>
      <w:r w:rsidR="00C5552D" w:rsidRPr="00C5552D">
        <w:rPr>
          <w:sz w:val="28"/>
        </w:rPr>
        <w:t>2</w:t>
      </w:r>
      <w:r w:rsidR="00D70AAA" w:rsidRPr="00C5552D">
        <w:rPr>
          <w:sz w:val="28"/>
        </w:rPr>
        <w:t>.2012г. №</w:t>
      </w:r>
      <w:r w:rsidR="00C5552D" w:rsidRPr="00C5552D">
        <w:rPr>
          <w:sz w:val="28"/>
        </w:rPr>
        <w:t>32/4</w:t>
      </w:r>
      <w:r w:rsidR="005A670D" w:rsidRPr="00C5552D">
        <w:rPr>
          <w:sz w:val="28"/>
        </w:rPr>
        <w:t>,</w:t>
      </w:r>
      <w:r w:rsidR="005A670D" w:rsidRPr="009102E2">
        <w:rPr>
          <w:sz w:val="28"/>
        </w:rPr>
        <w:t xml:space="preserve"> 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proofErr w:type="gramEnd"/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</w:t>
      </w:r>
      <w:r w:rsidR="00F72E29">
        <w:rPr>
          <w:bCs/>
          <w:sz w:val="28"/>
          <w:szCs w:val="28"/>
        </w:rPr>
        <w:t>4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</w:t>
      </w:r>
      <w:r w:rsidR="00F72E29">
        <w:rPr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и 201</w:t>
      </w:r>
      <w:r w:rsidR="00F72E29">
        <w:rPr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</w:t>
      </w:r>
      <w:r w:rsidR="00F72E29">
        <w:rPr>
          <w:bCs/>
          <w:sz w:val="28"/>
          <w:szCs w:val="28"/>
        </w:rPr>
        <w:t>4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</w:t>
      </w:r>
      <w:r w:rsidR="00F72E29">
        <w:rPr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и 201</w:t>
      </w:r>
      <w:r w:rsidR="00F72E29">
        <w:rPr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к</w:t>
      </w:r>
      <w:r w:rsidR="002C4679" w:rsidRPr="009102E2">
        <w:rPr>
          <w:sz w:val="28"/>
        </w:rPr>
        <w:t>онсолидированного бюджета района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>муниципального образования района</w:t>
      </w:r>
    </w:p>
    <w:p w:rsidR="00CC146F" w:rsidRPr="00CC146F" w:rsidRDefault="00CC146F" w:rsidP="00CC146F">
      <w:pPr>
        <w:ind w:left="927"/>
        <w:rPr>
          <w:b/>
          <w:sz w:val="28"/>
        </w:rPr>
      </w:pP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proofErr w:type="gramStart"/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районном</w:t>
      </w:r>
      <w:r w:rsidR="00274A15" w:rsidRPr="009102E2">
        <w:rPr>
          <w:sz w:val="28"/>
        </w:rPr>
        <w:t xml:space="preserve"> бюджете на очередной финансовый год </w:t>
      </w:r>
      <w:r w:rsidR="005635B5">
        <w:rPr>
          <w:sz w:val="28"/>
        </w:rPr>
        <w:t xml:space="preserve">и плановый период 2014-2015 годов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Думу</w:t>
      </w:r>
      <w:r w:rsidR="005635B5">
        <w:rPr>
          <w:sz w:val="28"/>
        </w:rPr>
        <w:t xml:space="preserve"> района</w:t>
      </w:r>
      <w:r w:rsidR="0026121A" w:rsidRPr="009102E2">
        <w:rPr>
          <w:sz w:val="28"/>
        </w:rPr>
        <w:t xml:space="preserve"> 1</w:t>
      </w:r>
      <w:r w:rsidR="004B6A31">
        <w:rPr>
          <w:sz w:val="28"/>
        </w:rPr>
        <w:t>5</w:t>
      </w:r>
      <w:r w:rsidR="0026121A" w:rsidRPr="009102E2">
        <w:rPr>
          <w:sz w:val="28"/>
        </w:rPr>
        <w:t xml:space="preserve"> ноября 201</w:t>
      </w:r>
      <w:r w:rsidR="00754E55">
        <w:rPr>
          <w:sz w:val="28"/>
        </w:rPr>
        <w:t>3</w:t>
      </w:r>
      <w:r w:rsidR="0026121A" w:rsidRPr="009102E2">
        <w:rPr>
          <w:sz w:val="28"/>
        </w:rPr>
        <w:t xml:space="preserve"> года</w:t>
      </w:r>
      <w:r w:rsidR="00274A15" w:rsidRPr="009102E2">
        <w:rPr>
          <w:sz w:val="28"/>
        </w:rPr>
        <w:t xml:space="preserve"> </w:t>
      </w:r>
      <w:r w:rsidRPr="009102E2">
        <w:rPr>
          <w:sz w:val="28"/>
        </w:rPr>
        <w:t>и</w:t>
      </w:r>
      <w:r w:rsidR="002E1848" w:rsidRPr="009102E2">
        <w:rPr>
          <w:sz w:val="28"/>
        </w:rPr>
        <w:t xml:space="preserve"> соответственно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17C46" w:rsidRPr="009102E2">
        <w:rPr>
          <w:sz w:val="28"/>
        </w:rPr>
        <w:t xml:space="preserve">  </w:t>
      </w:r>
      <w:r w:rsidRPr="009102E2">
        <w:rPr>
          <w:sz w:val="28"/>
        </w:rPr>
        <w:t>1</w:t>
      </w:r>
      <w:r w:rsidR="00754E55">
        <w:rPr>
          <w:sz w:val="28"/>
        </w:rPr>
        <w:t>8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754E55">
        <w:rPr>
          <w:sz w:val="28"/>
        </w:rPr>
        <w:t>3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экспертизы, что соответствует ст.185 БК РФ</w:t>
      </w:r>
      <w:r w:rsidR="00512C22" w:rsidRPr="00512C22">
        <w:rPr>
          <w:sz w:val="28"/>
        </w:rPr>
        <w:t xml:space="preserve"> </w:t>
      </w:r>
      <w:r w:rsidR="00512C22" w:rsidRPr="00B24488">
        <w:rPr>
          <w:sz w:val="28"/>
        </w:rPr>
        <w:t xml:space="preserve">и </w:t>
      </w:r>
      <w:r w:rsidR="00512C22" w:rsidRPr="00BD1AF9">
        <w:rPr>
          <w:sz w:val="28"/>
        </w:rPr>
        <w:t>ст.2</w:t>
      </w:r>
      <w:r w:rsidR="00B24488" w:rsidRPr="00BD1AF9">
        <w:rPr>
          <w:sz w:val="28"/>
        </w:rPr>
        <w:t>6</w:t>
      </w:r>
      <w:r w:rsidR="00512C22" w:rsidRPr="00BD1AF9">
        <w:rPr>
          <w:sz w:val="28"/>
        </w:rPr>
        <w:t xml:space="preserve"> Положения о бюджетном процессе в Баяндаевском районе.</w:t>
      </w:r>
      <w:proofErr w:type="gramEnd"/>
      <w:r w:rsidR="00512C22" w:rsidRPr="00BD1AF9">
        <w:rPr>
          <w:sz w:val="28"/>
        </w:rPr>
        <w:t xml:space="preserve"> </w:t>
      </w:r>
      <w:r w:rsidR="002E1848" w:rsidRPr="00BD1AF9">
        <w:rPr>
          <w:sz w:val="28"/>
        </w:rPr>
        <w:t>Т</w:t>
      </w:r>
      <w:r w:rsidR="002E1848" w:rsidRPr="009102E2">
        <w:rPr>
          <w:sz w:val="28"/>
        </w:rPr>
        <w:t>акже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754E55">
        <w:rPr>
          <w:sz w:val="28"/>
        </w:rPr>
        <w:t>4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</w:t>
      </w:r>
      <w:r w:rsidR="00754E55">
        <w:rPr>
          <w:sz w:val="28"/>
        </w:rPr>
        <w:t>5</w:t>
      </w:r>
      <w:r w:rsidR="00512C22">
        <w:rPr>
          <w:sz w:val="28"/>
        </w:rPr>
        <w:t xml:space="preserve"> и 201</w:t>
      </w:r>
      <w:r w:rsidR="00754E55">
        <w:rPr>
          <w:sz w:val="28"/>
        </w:rPr>
        <w:t>6</w:t>
      </w:r>
      <w:r w:rsidR="00512C22">
        <w:rPr>
          <w:sz w:val="28"/>
        </w:rPr>
        <w:t xml:space="preserve"> годов</w:t>
      </w:r>
      <w:r w:rsidRPr="009102E2">
        <w:rPr>
          <w:sz w:val="28"/>
        </w:rPr>
        <w:t>;</w:t>
      </w:r>
    </w:p>
    <w:p w:rsidR="003E72DE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И</w:t>
      </w:r>
      <w:r w:rsidR="003E72DE" w:rsidRPr="009102E2">
        <w:rPr>
          <w:sz w:val="28"/>
        </w:rPr>
        <w:t xml:space="preserve">тоги социально-экономического развития МО «Баяндаевский район» за </w:t>
      </w:r>
      <w:r w:rsidRPr="009102E2">
        <w:rPr>
          <w:sz w:val="28"/>
        </w:rPr>
        <w:t xml:space="preserve">9 месяцев </w:t>
      </w:r>
      <w:r w:rsidR="0026121A" w:rsidRPr="009102E2">
        <w:rPr>
          <w:sz w:val="28"/>
        </w:rPr>
        <w:t>201</w:t>
      </w:r>
      <w:r w:rsidR="00754E55">
        <w:rPr>
          <w:sz w:val="28"/>
        </w:rPr>
        <w:t>3</w:t>
      </w:r>
      <w:r w:rsidR="003E72DE" w:rsidRPr="009102E2">
        <w:rPr>
          <w:sz w:val="28"/>
        </w:rPr>
        <w:t xml:space="preserve"> год</w:t>
      </w:r>
      <w:r w:rsidRPr="009102E2">
        <w:rPr>
          <w:sz w:val="28"/>
        </w:rPr>
        <w:t>а</w:t>
      </w:r>
      <w:r w:rsidR="003E72DE" w:rsidRPr="009102E2">
        <w:rPr>
          <w:sz w:val="28"/>
        </w:rPr>
        <w:t>;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 xml:space="preserve">Прогноз социально-экономического развития МО «Баяндаевский </w:t>
      </w:r>
      <w:r w:rsidR="006F59AD" w:rsidRPr="009102E2">
        <w:rPr>
          <w:sz w:val="28"/>
        </w:rPr>
        <w:t>р</w:t>
      </w:r>
      <w:r w:rsidRPr="009102E2">
        <w:rPr>
          <w:sz w:val="28"/>
        </w:rPr>
        <w:t>айон»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754E55">
        <w:rPr>
          <w:sz w:val="28"/>
        </w:rPr>
        <w:t>4</w:t>
      </w:r>
      <w:r w:rsidR="00310FB1">
        <w:rPr>
          <w:sz w:val="28"/>
        </w:rPr>
        <w:t>-201</w:t>
      </w:r>
      <w:r w:rsidR="00754E55">
        <w:rPr>
          <w:sz w:val="28"/>
        </w:rPr>
        <w:t>6</w:t>
      </w:r>
      <w:r w:rsidR="006F59AD" w:rsidRPr="009102E2">
        <w:rPr>
          <w:sz w:val="28"/>
        </w:rPr>
        <w:t xml:space="preserve"> год</w:t>
      </w:r>
      <w:r w:rsidR="00310FB1">
        <w:rPr>
          <w:sz w:val="28"/>
        </w:rPr>
        <w:t>ы</w:t>
      </w:r>
      <w:r w:rsidRPr="009102E2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«Баяндаевский район» «О бюджете на 20</w:t>
      </w:r>
      <w:r w:rsidR="0026121A" w:rsidRPr="009102E2">
        <w:rPr>
          <w:sz w:val="28"/>
        </w:rPr>
        <w:t>1</w:t>
      </w:r>
      <w:r w:rsidR="00754E55">
        <w:rPr>
          <w:sz w:val="28"/>
        </w:rPr>
        <w:t>4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</w:t>
      </w:r>
      <w:r w:rsidR="00754E55">
        <w:rPr>
          <w:sz w:val="28"/>
        </w:rPr>
        <w:t>5</w:t>
      </w:r>
      <w:r w:rsidR="00512C22">
        <w:rPr>
          <w:sz w:val="28"/>
        </w:rPr>
        <w:t xml:space="preserve"> и 201</w:t>
      </w:r>
      <w:r w:rsidR="00754E55">
        <w:rPr>
          <w:sz w:val="28"/>
        </w:rPr>
        <w:t>6</w:t>
      </w:r>
      <w:r w:rsidR="00512C22">
        <w:rPr>
          <w:sz w:val="28"/>
        </w:rPr>
        <w:t xml:space="preserve">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 xml:space="preserve">Пояснительная записка к проекту решения Думы МО «Баяндаевский район» «О бюджете на </w:t>
      </w:r>
      <w:r w:rsidR="00512C22" w:rsidRPr="009102E2">
        <w:rPr>
          <w:sz w:val="28"/>
        </w:rPr>
        <w:t>201</w:t>
      </w:r>
      <w:r w:rsidR="00754E55">
        <w:rPr>
          <w:sz w:val="28"/>
        </w:rPr>
        <w:t>4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</w:t>
      </w:r>
      <w:r w:rsidR="00754E55">
        <w:rPr>
          <w:sz w:val="28"/>
        </w:rPr>
        <w:t>5</w:t>
      </w:r>
      <w:r w:rsidR="00512C22">
        <w:rPr>
          <w:sz w:val="28"/>
        </w:rPr>
        <w:t xml:space="preserve"> и 201</w:t>
      </w:r>
      <w:r w:rsidR="00754E55">
        <w:rPr>
          <w:sz w:val="28"/>
        </w:rPr>
        <w:t>6</w:t>
      </w:r>
      <w:r w:rsidR="00512C22">
        <w:rPr>
          <w:sz w:val="28"/>
        </w:rPr>
        <w:t xml:space="preserve"> годов</w:t>
      </w:r>
      <w:r w:rsidRPr="009102E2">
        <w:rPr>
          <w:sz w:val="28"/>
        </w:rPr>
        <w:t>»</w:t>
      </w:r>
    </w:p>
    <w:p w:rsidR="009674B6" w:rsidRPr="00CC146F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 xml:space="preserve">а МО «Баяндаевский район»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754E55">
        <w:rPr>
          <w:sz w:val="28"/>
        </w:rPr>
        <w:t>3</w:t>
      </w:r>
      <w:r w:rsidR="002C1899" w:rsidRPr="00CC146F">
        <w:rPr>
          <w:sz w:val="28"/>
        </w:rPr>
        <w:t xml:space="preserve"> год.</w:t>
      </w:r>
    </w:p>
    <w:p w:rsidR="00C02B99" w:rsidRPr="00876725" w:rsidRDefault="00C02B99" w:rsidP="00C02B99">
      <w:pPr>
        <w:ind w:firstLine="540"/>
        <w:jc w:val="both"/>
        <w:rPr>
          <w:sz w:val="28"/>
        </w:rPr>
      </w:pPr>
      <w:r w:rsidRPr="00876725">
        <w:rPr>
          <w:sz w:val="28"/>
        </w:rPr>
        <w:t xml:space="preserve">Перечень, содержание документов и материалов, которые в соответствии со ст. 184.2 БК РФ, </w:t>
      </w:r>
      <w:r w:rsidRPr="00876725">
        <w:rPr>
          <w:sz w:val="28"/>
          <w:szCs w:val="28"/>
        </w:rPr>
        <w:t>ст. 20</w:t>
      </w:r>
      <w:r>
        <w:rPr>
          <w:sz w:val="28"/>
          <w:szCs w:val="28"/>
        </w:rPr>
        <w:t>, 23</w:t>
      </w:r>
      <w:r w:rsidRPr="00876725">
        <w:rPr>
          <w:sz w:val="28"/>
          <w:szCs w:val="28"/>
        </w:rPr>
        <w:t xml:space="preserve"> Положения  о бюджетном  процессе в МО </w:t>
      </w:r>
      <w:r>
        <w:rPr>
          <w:sz w:val="28"/>
          <w:szCs w:val="28"/>
        </w:rPr>
        <w:t>«</w:t>
      </w:r>
      <w:r w:rsidRPr="00876725">
        <w:rPr>
          <w:sz w:val="28"/>
          <w:szCs w:val="28"/>
        </w:rPr>
        <w:t xml:space="preserve">Баяндаевский район» </w:t>
      </w:r>
      <w:r w:rsidRPr="00876725">
        <w:rPr>
          <w:sz w:val="28"/>
        </w:rPr>
        <w:t xml:space="preserve">должны представляться одновременно с проектом бюджета района,  соответствуют требованиям бюджетного законодательства. 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 xml:space="preserve">Основные направления бюджетной и налоговой политики МО «Баяндаевский район» утверждены  Постановлением мэра района  </w:t>
      </w:r>
      <w:r w:rsidR="00754E55">
        <w:rPr>
          <w:rFonts w:ascii="Times New Roman" w:hAnsi="Times New Roman" w:cs="Times New Roman"/>
          <w:snapToGrid w:val="0"/>
          <w:sz w:val="28"/>
        </w:rPr>
        <w:t>30</w:t>
      </w:r>
      <w:r w:rsidRPr="00B24488">
        <w:rPr>
          <w:rFonts w:ascii="Times New Roman" w:hAnsi="Times New Roman" w:cs="Times New Roman"/>
          <w:snapToGrid w:val="0"/>
          <w:sz w:val="28"/>
        </w:rPr>
        <w:t>.10.201</w:t>
      </w:r>
      <w:r w:rsidR="00754E55">
        <w:rPr>
          <w:rFonts w:ascii="Times New Roman" w:hAnsi="Times New Roman" w:cs="Times New Roman"/>
          <w:snapToGrid w:val="0"/>
          <w:sz w:val="28"/>
        </w:rPr>
        <w:t>3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года №1</w:t>
      </w:r>
      <w:r w:rsidR="00754E55">
        <w:rPr>
          <w:rFonts w:ascii="Times New Roman" w:hAnsi="Times New Roman" w:cs="Times New Roman"/>
          <w:snapToGrid w:val="0"/>
          <w:sz w:val="28"/>
        </w:rPr>
        <w:t>7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3, что соответствует требованиям ст. 172 БК РФ.  </w:t>
      </w:r>
    </w:p>
    <w:p w:rsidR="009674B6" w:rsidRPr="00BD1AF9" w:rsidRDefault="00C02B99" w:rsidP="009674B6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9878C6">
        <w:rPr>
          <w:sz w:val="28"/>
          <w:szCs w:val="28"/>
        </w:rPr>
        <w:t xml:space="preserve">Предварительные итоги социально-экономического развития </w:t>
      </w:r>
      <w:r w:rsidRPr="009878C6">
        <w:rPr>
          <w:sz w:val="28"/>
        </w:rPr>
        <w:t>Баяндаевского района представлены в одноименном документе за 9 месяцев 2012 года, что  соответствует  требованиям ст.184.2 БК РФ</w:t>
      </w:r>
      <w:r w:rsidRPr="00A84877">
        <w:rPr>
          <w:color w:val="FF0000"/>
          <w:sz w:val="28"/>
        </w:rPr>
        <w:t xml:space="preserve"> </w:t>
      </w:r>
      <w:r w:rsidRPr="00BD1AF9">
        <w:rPr>
          <w:sz w:val="28"/>
        </w:rPr>
        <w:t>и ст.2</w:t>
      </w:r>
      <w:r w:rsidR="00BD1AF9" w:rsidRPr="00BD1AF9">
        <w:rPr>
          <w:sz w:val="28"/>
        </w:rPr>
        <w:t>4</w:t>
      </w:r>
      <w:r w:rsidRPr="00BD1AF9">
        <w:rPr>
          <w:sz w:val="28"/>
          <w:szCs w:val="28"/>
        </w:rPr>
        <w:t xml:space="preserve"> </w:t>
      </w:r>
      <w:r w:rsidRPr="00BD1AF9">
        <w:rPr>
          <w:sz w:val="28"/>
        </w:rPr>
        <w:t xml:space="preserve">Положения о бюджетном процессе в Баяндаевском районе. </w:t>
      </w:r>
    </w:p>
    <w:p w:rsidR="00403DFA" w:rsidRDefault="00403DFA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районного бюджета </w:t>
      </w:r>
    </w:p>
    <w:p w:rsidR="00CC146F" w:rsidRPr="009102E2" w:rsidRDefault="00CC146F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районного бюджета на 201</w:t>
      </w:r>
      <w:r w:rsidR="00B05B47">
        <w:rPr>
          <w:sz w:val="28"/>
        </w:rPr>
        <w:t>4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</w:t>
      </w:r>
      <w:r w:rsidR="00B05B47">
        <w:rPr>
          <w:sz w:val="28"/>
        </w:rPr>
        <w:t>5</w:t>
      </w:r>
      <w:r>
        <w:rPr>
          <w:sz w:val="28"/>
        </w:rPr>
        <w:t xml:space="preserve"> и 201</w:t>
      </w:r>
      <w:r w:rsidR="00B05B47">
        <w:rPr>
          <w:sz w:val="28"/>
        </w:rPr>
        <w:t>6</w:t>
      </w:r>
      <w:r>
        <w:rPr>
          <w:sz w:val="28"/>
        </w:rPr>
        <w:t xml:space="preserve">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694B1A" w:rsidRDefault="00694B1A" w:rsidP="00694B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23.07.2013г. №252-ФЗ "О внесении изменений в Бюджетный кодекс Российской Федерации и отдельные законодательные акты Российской Федерации"</w:t>
      </w:r>
      <w:r w:rsidR="00485E12">
        <w:rPr>
          <w:sz w:val="28"/>
          <w:szCs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проект </w:t>
      </w:r>
      <w:r w:rsidR="002C1899" w:rsidRPr="00D74E6F">
        <w:rPr>
          <w:sz w:val="28"/>
        </w:rPr>
        <w:t xml:space="preserve">федерального закона «О федеральном бюджете на </w:t>
      </w:r>
      <w:r>
        <w:rPr>
          <w:sz w:val="28"/>
        </w:rPr>
        <w:t>201</w:t>
      </w:r>
      <w:r w:rsidR="0008130E">
        <w:rPr>
          <w:sz w:val="28"/>
        </w:rPr>
        <w:t>4</w:t>
      </w:r>
      <w:r>
        <w:rPr>
          <w:sz w:val="28"/>
        </w:rPr>
        <w:t xml:space="preserve"> год и плановый период </w:t>
      </w:r>
      <w:r w:rsidR="002C1899" w:rsidRPr="00D74E6F">
        <w:rPr>
          <w:sz w:val="28"/>
        </w:rPr>
        <w:t>201</w:t>
      </w:r>
      <w:r w:rsidR="0008130E">
        <w:rPr>
          <w:sz w:val="28"/>
        </w:rPr>
        <w:t>5</w:t>
      </w:r>
      <w:r>
        <w:rPr>
          <w:sz w:val="28"/>
        </w:rPr>
        <w:t xml:space="preserve"> и </w:t>
      </w:r>
      <w:r w:rsidR="002C1899">
        <w:rPr>
          <w:sz w:val="28"/>
        </w:rPr>
        <w:t>201</w:t>
      </w:r>
      <w:r w:rsidR="0008130E">
        <w:rPr>
          <w:sz w:val="28"/>
        </w:rPr>
        <w:t>6</w:t>
      </w:r>
      <w:r w:rsidR="002C1899" w:rsidRPr="00D74E6F">
        <w:rPr>
          <w:sz w:val="28"/>
        </w:rPr>
        <w:t xml:space="preserve"> го</w:t>
      </w:r>
      <w:r>
        <w:rPr>
          <w:sz w:val="28"/>
        </w:rPr>
        <w:t>дов</w:t>
      </w:r>
      <w:r w:rsidR="002C1899" w:rsidRPr="00D74E6F">
        <w:rPr>
          <w:sz w:val="28"/>
        </w:rPr>
        <w:t>»</w:t>
      </w:r>
      <w:r>
        <w:rPr>
          <w:sz w:val="28"/>
        </w:rPr>
        <w:t>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Иркутской области «Об областном бюджете на 201</w:t>
      </w:r>
      <w:r w:rsidR="0008130E">
        <w:rPr>
          <w:sz w:val="28"/>
        </w:rPr>
        <w:t>4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 w:rsidR="0008130E">
        <w:rPr>
          <w:sz w:val="28"/>
        </w:rPr>
        <w:t>5</w:t>
      </w:r>
      <w:r w:rsidR="002C1899">
        <w:rPr>
          <w:sz w:val="28"/>
        </w:rPr>
        <w:t>-201</w:t>
      </w:r>
      <w:r w:rsidR="0008130E">
        <w:rPr>
          <w:sz w:val="28"/>
        </w:rPr>
        <w:t>6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485E12" w:rsidRDefault="00485E12" w:rsidP="007B209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 Закон Иркутской области от 22.10.2013</w:t>
      </w:r>
      <w:r w:rsidR="007B209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7B209E">
        <w:rPr>
          <w:sz w:val="28"/>
          <w:szCs w:val="28"/>
        </w:rPr>
        <w:t>№</w:t>
      </w:r>
      <w:r>
        <w:rPr>
          <w:sz w:val="28"/>
          <w:szCs w:val="28"/>
        </w:rPr>
        <w:t>74-ОЗ "О межбюджетных трансфертах и нормативах отчислений доходов в местные бюджеты"</w:t>
      </w:r>
      <w:r w:rsidR="007B209E">
        <w:rPr>
          <w:sz w:val="28"/>
          <w:szCs w:val="28"/>
        </w:rPr>
        <w:t>;</w:t>
      </w:r>
    </w:p>
    <w:p w:rsidR="00153684" w:rsidRPr="00B05B47" w:rsidRDefault="00153684" w:rsidP="002C1899">
      <w:pPr>
        <w:ind w:firstLine="708"/>
        <w:jc w:val="both"/>
        <w:rPr>
          <w:sz w:val="28"/>
        </w:rPr>
      </w:pPr>
      <w:r w:rsidRPr="00B05B47">
        <w:rPr>
          <w:sz w:val="28"/>
        </w:rPr>
        <w:t xml:space="preserve">- «Положение о бюджетном процессе в Баяндаевском районе», утвержденное </w:t>
      </w:r>
      <w:r w:rsidR="00B05B47" w:rsidRPr="00B05B47">
        <w:rPr>
          <w:sz w:val="28"/>
        </w:rPr>
        <w:t>решением Думы</w:t>
      </w:r>
      <w:r w:rsidRPr="00B05B47">
        <w:rPr>
          <w:sz w:val="28"/>
        </w:rPr>
        <w:t xml:space="preserve"> района от </w:t>
      </w:r>
      <w:r w:rsidR="00B05B47" w:rsidRPr="00B05B47">
        <w:rPr>
          <w:sz w:val="28"/>
        </w:rPr>
        <w:t>24</w:t>
      </w:r>
      <w:r w:rsidRPr="00B05B47">
        <w:rPr>
          <w:sz w:val="28"/>
        </w:rPr>
        <w:t>.1</w:t>
      </w:r>
      <w:r w:rsidR="00B05B47" w:rsidRPr="00B05B47">
        <w:rPr>
          <w:sz w:val="28"/>
        </w:rPr>
        <w:t>2</w:t>
      </w:r>
      <w:r w:rsidRPr="00B05B47">
        <w:rPr>
          <w:sz w:val="28"/>
        </w:rPr>
        <w:t>.2012г. №</w:t>
      </w:r>
      <w:r w:rsidR="00B05B47" w:rsidRPr="00B05B47">
        <w:rPr>
          <w:sz w:val="28"/>
        </w:rPr>
        <w:t>32/4</w:t>
      </w:r>
      <w:r w:rsidRPr="00B05B47">
        <w:rPr>
          <w:sz w:val="28"/>
        </w:rPr>
        <w:t>;</w:t>
      </w:r>
    </w:p>
    <w:p w:rsidR="00180C01" w:rsidRPr="00D260CC" w:rsidRDefault="00180C01" w:rsidP="002C1899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- «Прогноз социально-экономического развития Баяндаевского района на 201</w:t>
      </w:r>
      <w:r w:rsidR="00D260CC">
        <w:rPr>
          <w:sz w:val="28"/>
        </w:rPr>
        <w:t>4-2</w:t>
      </w:r>
      <w:r>
        <w:rPr>
          <w:sz w:val="28"/>
        </w:rPr>
        <w:t>01</w:t>
      </w:r>
      <w:r w:rsidR="00D260CC">
        <w:rPr>
          <w:sz w:val="28"/>
        </w:rPr>
        <w:t>6</w:t>
      </w:r>
      <w:r>
        <w:rPr>
          <w:sz w:val="28"/>
        </w:rPr>
        <w:t xml:space="preserve"> год</w:t>
      </w:r>
      <w:r w:rsidR="00D260CC">
        <w:rPr>
          <w:sz w:val="28"/>
        </w:rPr>
        <w:t>ы</w:t>
      </w:r>
      <w:r>
        <w:rPr>
          <w:sz w:val="28"/>
        </w:rPr>
        <w:t>»</w:t>
      </w:r>
      <w:r w:rsidR="00485E12">
        <w:rPr>
          <w:sz w:val="28"/>
        </w:rPr>
        <w:t>, одобренный постановлением мэра района от 08.11.2013г. №</w:t>
      </w:r>
      <w:r w:rsidR="002E4316">
        <w:rPr>
          <w:sz w:val="28"/>
        </w:rPr>
        <w:t>186а</w:t>
      </w:r>
      <w:r w:rsidR="00153684" w:rsidRPr="00806DB2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«Основные направления бюджетной и налоговой политики муниципального образования «Баяндаевский район», утвержденные постановлением мэра района от </w:t>
      </w:r>
      <w:r w:rsidR="00D260CC">
        <w:rPr>
          <w:sz w:val="28"/>
        </w:rPr>
        <w:t>30</w:t>
      </w:r>
      <w:r>
        <w:rPr>
          <w:sz w:val="28"/>
        </w:rPr>
        <w:t>.10.201</w:t>
      </w:r>
      <w:r w:rsidR="00D260CC">
        <w:rPr>
          <w:sz w:val="28"/>
        </w:rPr>
        <w:t>3</w:t>
      </w:r>
      <w:r>
        <w:rPr>
          <w:sz w:val="28"/>
        </w:rPr>
        <w:t>г. №1</w:t>
      </w:r>
      <w:r w:rsidR="00D260CC">
        <w:rPr>
          <w:sz w:val="28"/>
        </w:rPr>
        <w:t>7</w:t>
      </w:r>
      <w:r>
        <w:rPr>
          <w:sz w:val="28"/>
        </w:rPr>
        <w:t>3.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9674B6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146F" w:rsidRPr="009102E2" w:rsidRDefault="00CC146F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Default="002C1899" w:rsidP="009674B6">
      <w:pPr>
        <w:ind w:firstLine="708"/>
        <w:jc w:val="both"/>
        <w:rPr>
          <w:sz w:val="28"/>
        </w:rPr>
      </w:pPr>
      <w:proofErr w:type="gramStart"/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9102E2">
        <w:rPr>
          <w:bCs/>
          <w:sz w:val="28"/>
          <w:szCs w:val="28"/>
        </w:rPr>
        <w:t>Баяндаевского района</w:t>
      </w:r>
      <w:r w:rsidRPr="009102E2">
        <w:rPr>
          <w:sz w:val="28"/>
        </w:rPr>
        <w:t xml:space="preserve"> на 201</w:t>
      </w:r>
      <w:r w:rsidR="00CD3A74">
        <w:rPr>
          <w:sz w:val="28"/>
        </w:rPr>
        <w:t>4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</w:t>
      </w:r>
      <w:r w:rsidR="00CD3A74">
        <w:rPr>
          <w:sz w:val="28"/>
        </w:rPr>
        <w:t>5</w:t>
      </w:r>
      <w:r w:rsidR="0049071F">
        <w:rPr>
          <w:sz w:val="28"/>
        </w:rPr>
        <w:t xml:space="preserve"> и 201</w:t>
      </w:r>
      <w:r w:rsidR="00CD3A74">
        <w:rPr>
          <w:sz w:val="28"/>
        </w:rPr>
        <w:t>6</w:t>
      </w:r>
      <w:r w:rsidR="0049071F">
        <w:rPr>
          <w:sz w:val="28"/>
        </w:rPr>
        <w:t xml:space="preserve"> годов</w:t>
      </w:r>
      <w:r w:rsidRPr="009102E2">
        <w:rPr>
          <w:sz w:val="28"/>
        </w:rPr>
        <w:t>, утвержденные постановлением мэра МО «Баяндаевский район» №</w:t>
      </w:r>
      <w:r w:rsidR="0049071F">
        <w:rPr>
          <w:sz w:val="28"/>
        </w:rPr>
        <w:t>1</w:t>
      </w:r>
      <w:r w:rsidR="00CD3A74">
        <w:rPr>
          <w:sz w:val="28"/>
        </w:rPr>
        <w:t>7</w:t>
      </w:r>
      <w:r w:rsidR="0049071F">
        <w:rPr>
          <w:sz w:val="28"/>
        </w:rPr>
        <w:t>3</w:t>
      </w:r>
      <w:r w:rsidRPr="009102E2">
        <w:rPr>
          <w:sz w:val="28"/>
        </w:rPr>
        <w:t xml:space="preserve"> от </w:t>
      </w:r>
      <w:r w:rsidR="00CD3A74">
        <w:rPr>
          <w:sz w:val="28"/>
        </w:rPr>
        <w:t>30</w:t>
      </w:r>
      <w:r w:rsidRPr="009102E2">
        <w:rPr>
          <w:sz w:val="28"/>
        </w:rPr>
        <w:t>.1</w:t>
      </w:r>
      <w:r w:rsidR="0049071F">
        <w:rPr>
          <w:sz w:val="28"/>
        </w:rPr>
        <w:t>0</w:t>
      </w:r>
      <w:r w:rsidRPr="009102E2">
        <w:rPr>
          <w:sz w:val="28"/>
        </w:rPr>
        <w:t>.201</w:t>
      </w:r>
      <w:r w:rsidR="00CD3A74">
        <w:rPr>
          <w:sz w:val="28"/>
        </w:rPr>
        <w:t>3</w:t>
      </w:r>
      <w:r w:rsidRPr="009102E2">
        <w:rPr>
          <w:sz w:val="28"/>
        </w:rPr>
        <w:t xml:space="preserve">г., соответствуют Бюджетному посланию Президента РФ Федеральному Собранию РФ от </w:t>
      </w:r>
      <w:r w:rsidR="00CD3A74">
        <w:rPr>
          <w:sz w:val="28"/>
        </w:rPr>
        <w:t>13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CD3A74">
        <w:rPr>
          <w:sz w:val="28"/>
        </w:rPr>
        <w:t>3</w:t>
      </w:r>
      <w:r w:rsidRPr="009102E2">
        <w:rPr>
          <w:sz w:val="28"/>
        </w:rPr>
        <w:t>г. «О бюджетной политике в 201</w:t>
      </w:r>
      <w:r w:rsidR="00CD3A74">
        <w:rPr>
          <w:sz w:val="28"/>
        </w:rPr>
        <w:t>4</w:t>
      </w:r>
      <w:r w:rsidRPr="009102E2">
        <w:rPr>
          <w:sz w:val="28"/>
        </w:rPr>
        <w:t>-201</w:t>
      </w:r>
      <w:r w:rsidR="00CD3A74">
        <w:rPr>
          <w:sz w:val="28"/>
        </w:rPr>
        <w:t>6</w:t>
      </w:r>
      <w:r w:rsidRPr="009102E2">
        <w:rPr>
          <w:sz w:val="28"/>
        </w:rPr>
        <w:t xml:space="preserve"> годах» (далее Послание) и включают в себя как поставленные</w:t>
      </w:r>
      <w:proofErr w:type="gramEnd"/>
      <w:r w:rsidRPr="009102E2">
        <w:rPr>
          <w:sz w:val="28"/>
        </w:rPr>
        <w:t xml:space="preserve"> ранее задачи,  так и новые направления, в том числе:</w:t>
      </w:r>
    </w:p>
    <w:p w:rsidR="0049071F" w:rsidRPr="001275E8" w:rsidRDefault="0049071F" w:rsidP="0096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5E8">
        <w:rPr>
          <w:bCs/>
          <w:sz w:val="28"/>
          <w:szCs w:val="28"/>
        </w:rPr>
        <w:t>Бюджетная политика должна стать более эффективным инструментом реализации государственной социально-экономической политики.</w:t>
      </w:r>
    </w:p>
    <w:p w:rsidR="0049071F" w:rsidRPr="001275E8" w:rsidRDefault="001275E8" w:rsidP="0096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5E8">
        <w:rPr>
          <w:bCs/>
          <w:sz w:val="28"/>
          <w:szCs w:val="28"/>
        </w:rPr>
        <w:t>П</w:t>
      </w:r>
      <w:r w:rsidR="0049071F" w:rsidRPr="001275E8">
        <w:rPr>
          <w:bCs/>
          <w:sz w:val="28"/>
          <w:szCs w:val="28"/>
        </w:rPr>
        <w:t>овы</w:t>
      </w:r>
      <w:r w:rsidRPr="001275E8">
        <w:rPr>
          <w:bCs/>
          <w:sz w:val="28"/>
          <w:szCs w:val="28"/>
        </w:rPr>
        <w:t>шение</w:t>
      </w:r>
      <w:r w:rsidR="0049071F" w:rsidRPr="001275E8">
        <w:rPr>
          <w:bCs/>
          <w:sz w:val="28"/>
          <w:szCs w:val="28"/>
        </w:rPr>
        <w:t xml:space="preserve"> качеств</w:t>
      </w:r>
      <w:r w:rsidRPr="001275E8">
        <w:rPr>
          <w:bCs/>
          <w:sz w:val="28"/>
          <w:szCs w:val="28"/>
        </w:rPr>
        <w:t>а</w:t>
      </w:r>
      <w:r w:rsidR="0049071F" w:rsidRPr="001275E8">
        <w:rPr>
          <w:bCs/>
          <w:sz w:val="28"/>
          <w:szCs w:val="28"/>
        </w:rPr>
        <w:t xml:space="preserve"> предоставляемых населению государственных и муниципальных услуг.</w:t>
      </w:r>
    </w:p>
    <w:p w:rsidR="0049071F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Обеспечение сбалансированности бюджетной системы на долгосрочной основе, ограничение бюджетных расходов из-за низкого уровня доходов.</w:t>
      </w:r>
    </w:p>
    <w:p w:rsidR="001275E8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 xml:space="preserve">Повышение эффективности </w:t>
      </w:r>
      <w:r w:rsidR="00B72498">
        <w:rPr>
          <w:sz w:val="28"/>
        </w:rPr>
        <w:t xml:space="preserve">и оптимизация </w:t>
      </w:r>
      <w:r>
        <w:rPr>
          <w:sz w:val="28"/>
        </w:rPr>
        <w:t>расходов бюджета в условиях ограниченности финансовых ресурсов.</w:t>
      </w:r>
    </w:p>
    <w:p w:rsidR="001275E8" w:rsidRDefault="00B72498" w:rsidP="009674B6">
      <w:pPr>
        <w:ind w:firstLine="708"/>
        <w:jc w:val="both"/>
        <w:rPr>
          <w:sz w:val="28"/>
        </w:rPr>
      </w:pPr>
      <w:r>
        <w:rPr>
          <w:sz w:val="28"/>
        </w:rPr>
        <w:t xml:space="preserve">Развитие </w:t>
      </w:r>
      <w:r w:rsidR="001275E8">
        <w:rPr>
          <w:sz w:val="28"/>
        </w:rPr>
        <w:t>программно-целевого метода в бюджетном процессе.</w:t>
      </w:r>
    </w:p>
    <w:p w:rsidR="001275E8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Сохранение и развитие налогового потенциала на территории района.</w:t>
      </w:r>
    </w:p>
    <w:p w:rsidR="001275E8" w:rsidRPr="009102E2" w:rsidRDefault="001275E8" w:rsidP="009674B6">
      <w:pPr>
        <w:ind w:firstLine="708"/>
        <w:jc w:val="both"/>
        <w:rPr>
          <w:sz w:val="28"/>
        </w:rPr>
      </w:pPr>
      <w:r>
        <w:rPr>
          <w:sz w:val="28"/>
        </w:rPr>
        <w:t>Увеличение доходов бюджета за счет повышения эффективности использования муниципального имущества</w:t>
      </w:r>
      <w:r w:rsidR="005635B5">
        <w:rPr>
          <w:sz w:val="28"/>
        </w:rPr>
        <w:t>.</w:t>
      </w:r>
    </w:p>
    <w:p w:rsidR="00274A15" w:rsidRDefault="001275E8" w:rsidP="00CC146F">
      <w:pPr>
        <w:ind w:firstLine="708"/>
        <w:jc w:val="both"/>
        <w:rPr>
          <w:sz w:val="28"/>
        </w:rPr>
      </w:pPr>
      <w:r>
        <w:rPr>
          <w:sz w:val="28"/>
        </w:rPr>
        <w:t>О</w:t>
      </w:r>
      <w:r w:rsidR="002C1899" w:rsidRPr="009102E2">
        <w:rPr>
          <w:sz w:val="28"/>
        </w:rPr>
        <w:t>беспечение выполнения основных приор</w:t>
      </w:r>
      <w:r>
        <w:rPr>
          <w:sz w:val="28"/>
        </w:rPr>
        <w:t>итетов государственной политики.</w:t>
      </w:r>
    </w:p>
    <w:p w:rsidR="006E2BD4" w:rsidRDefault="006E2BD4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2E4316" w:rsidRPr="009674B6" w:rsidRDefault="002E4316" w:rsidP="009674B6">
      <w:pPr>
        <w:jc w:val="center"/>
        <w:rPr>
          <w:sz w:val="28"/>
          <w:szCs w:val="28"/>
        </w:rPr>
      </w:pP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lastRenderedPageBreak/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>проекта решения Думы района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Баяндаевского района на 201</w:t>
      </w:r>
      <w:r w:rsidR="00806DB2">
        <w:rPr>
          <w:sz w:val="28"/>
          <w:szCs w:val="28"/>
        </w:rPr>
        <w:t>4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806DB2">
        <w:rPr>
          <w:sz w:val="28"/>
          <w:szCs w:val="28"/>
        </w:rPr>
        <w:t>281734,2</w:t>
      </w:r>
      <w:r>
        <w:rPr>
          <w:sz w:val="28"/>
          <w:szCs w:val="28"/>
        </w:rPr>
        <w:t xml:space="preserve"> тыс. руб., в том числе </w:t>
      </w:r>
      <w:r w:rsidR="00756D20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в сумме </w:t>
      </w:r>
      <w:r w:rsidR="00806DB2">
        <w:rPr>
          <w:sz w:val="28"/>
          <w:szCs w:val="28"/>
        </w:rPr>
        <w:t>255273,3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DB2">
        <w:rPr>
          <w:sz w:val="28"/>
          <w:szCs w:val="28"/>
        </w:rPr>
        <w:t xml:space="preserve"> общий объем расходов – 282953,8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806DB2">
        <w:rPr>
          <w:sz w:val="28"/>
          <w:szCs w:val="28"/>
        </w:rPr>
        <w:t>1219,6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2014 и 2015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районного бюджета на 201</w:t>
      </w:r>
      <w:r w:rsidR="00806DB2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806DB2">
        <w:rPr>
          <w:sz w:val="28"/>
          <w:szCs w:val="28"/>
        </w:rPr>
        <w:t>294858,9</w:t>
      </w:r>
      <w:r>
        <w:rPr>
          <w:sz w:val="28"/>
          <w:szCs w:val="28"/>
        </w:rPr>
        <w:t xml:space="preserve"> </w:t>
      </w:r>
      <w:r w:rsidR="00806DB2">
        <w:rPr>
          <w:sz w:val="28"/>
          <w:szCs w:val="28"/>
        </w:rPr>
        <w:t>тыс</w:t>
      </w:r>
      <w:proofErr w:type="gramStart"/>
      <w:r w:rsidR="00806DB2">
        <w:rPr>
          <w:sz w:val="28"/>
          <w:szCs w:val="28"/>
        </w:rPr>
        <w:t>.р</w:t>
      </w:r>
      <w:proofErr w:type="gramEnd"/>
      <w:r w:rsidR="00806DB2">
        <w:rPr>
          <w:sz w:val="28"/>
          <w:szCs w:val="28"/>
        </w:rPr>
        <w:t>уб., на 2016 год – 314222,0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806DB2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806DB2">
        <w:rPr>
          <w:sz w:val="28"/>
          <w:szCs w:val="28"/>
        </w:rPr>
        <w:t>296163,0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201</w:t>
      </w:r>
      <w:r w:rsidR="00806DB2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806DB2">
        <w:rPr>
          <w:sz w:val="28"/>
          <w:szCs w:val="28"/>
        </w:rPr>
        <w:t>315611,6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>бюджета 201</w:t>
      </w:r>
      <w:r w:rsidR="00806DB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– </w:t>
      </w:r>
      <w:r w:rsidR="00806DB2">
        <w:rPr>
          <w:sz w:val="28"/>
          <w:szCs w:val="28"/>
        </w:rPr>
        <w:t>1304,1</w:t>
      </w:r>
      <w:r>
        <w:rPr>
          <w:sz w:val="28"/>
          <w:szCs w:val="28"/>
        </w:rPr>
        <w:t xml:space="preserve"> тыс. руб., 201</w:t>
      </w:r>
      <w:r w:rsidR="00806DB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806DB2">
        <w:rPr>
          <w:sz w:val="28"/>
          <w:szCs w:val="28"/>
        </w:rPr>
        <w:t>1389,6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  <w:r w:rsidRPr="003D3174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11</w:t>
      </w:r>
      <w:r w:rsidRPr="009C03BB">
        <w:rPr>
          <w:sz w:val="28"/>
          <w:szCs w:val="28"/>
        </w:rPr>
        <w:t xml:space="preserve">  проекта решения устанавливается, что в расходной части бюджета </w:t>
      </w:r>
      <w:r>
        <w:rPr>
          <w:sz w:val="28"/>
          <w:szCs w:val="28"/>
        </w:rPr>
        <w:t>района</w:t>
      </w:r>
      <w:r w:rsidRPr="009C03BB">
        <w:rPr>
          <w:sz w:val="28"/>
          <w:szCs w:val="28"/>
        </w:rPr>
        <w:t xml:space="preserve"> на 201</w:t>
      </w:r>
      <w:r w:rsidR="005C3AC0">
        <w:rPr>
          <w:sz w:val="28"/>
          <w:szCs w:val="28"/>
        </w:rPr>
        <w:t>4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t>МО «Баяндаевский район»</w:t>
      </w:r>
      <w:r w:rsidRPr="009C03BB">
        <w:rPr>
          <w:sz w:val="28"/>
          <w:szCs w:val="28"/>
        </w:rPr>
        <w:t xml:space="preserve"> в размере </w:t>
      </w:r>
      <w:r w:rsidR="005C3AC0">
        <w:rPr>
          <w:sz w:val="28"/>
          <w:szCs w:val="28"/>
        </w:rPr>
        <w:t>15</w:t>
      </w:r>
      <w:r w:rsidRPr="009C03BB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9C03BB">
        <w:rPr>
          <w:sz w:val="28"/>
          <w:szCs w:val="28"/>
        </w:rPr>
        <w:t xml:space="preserve"> тыс. руб.  или 0,</w:t>
      </w:r>
      <w:r w:rsidR="005C3AC0">
        <w:rPr>
          <w:sz w:val="28"/>
          <w:szCs w:val="28"/>
        </w:rPr>
        <w:t>05</w:t>
      </w:r>
      <w:r w:rsidRPr="009C03BB">
        <w:rPr>
          <w:sz w:val="28"/>
          <w:szCs w:val="28"/>
        </w:rPr>
        <w:t>% от утвержденного общего объема расходов</w:t>
      </w:r>
      <w:r w:rsidR="004A1577">
        <w:rPr>
          <w:sz w:val="28"/>
          <w:szCs w:val="28"/>
        </w:rPr>
        <w:t xml:space="preserve"> бюджета района,</w:t>
      </w:r>
      <w:r w:rsidR="00756D20">
        <w:rPr>
          <w:sz w:val="28"/>
          <w:szCs w:val="28"/>
        </w:rPr>
        <w:t xml:space="preserve"> на плановый период 2014 и 2015 годов – по </w:t>
      </w:r>
      <w:r w:rsidR="005C3AC0">
        <w:rPr>
          <w:sz w:val="28"/>
          <w:szCs w:val="28"/>
        </w:rPr>
        <w:t>15</w:t>
      </w:r>
      <w:r w:rsidR="00756D20">
        <w:rPr>
          <w:sz w:val="28"/>
          <w:szCs w:val="28"/>
        </w:rPr>
        <w:t>0,00 тыс</w:t>
      </w:r>
      <w:proofErr w:type="gramStart"/>
      <w:r w:rsidR="00756D20">
        <w:rPr>
          <w:sz w:val="28"/>
          <w:szCs w:val="28"/>
        </w:rPr>
        <w:t>.р</w:t>
      </w:r>
      <w:proofErr w:type="gramEnd"/>
      <w:r w:rsidR="00756D20">
        <w:rPr>
          <w:sz w:val="28"/>
          <w:szCs w:val="28"/>
        </w:rPr>
        <w:t xml:space="preserve">уб. ежегодно,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Pr="009C03BB">
        <w:rPr>
          <w:sz w:val="28"/>
          <w:szCs w:val="28"/>
        </w:rPr>
        <w:t>81 БК РФ.</w:t>
      </w:r>
    </w:p>
    <w:p w:rsidR="00AD15BD" w:rsidRPr="00A12E32" w:rsidRDefault="005635B5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2663F1" w:rsidRPr="00A12E32">
        <w:rPr>
          <w:sz w:val="28"/>
          <w:szCs w:val="28"/>
        </w:rPr>
        <w:t xml:space="preserve"> 1</w:t>
      </w:r>
      <w:r w:rsidR="004A1577">
        <w:rPr>
          <w:sz w:val="28"/>
          <w:szCs w:val="28"/>
        </w:rPr>
        <w:t>2</w:t>
      </w:r>
      <w:r w:rsidR="002663F1" w:rsidRPr="00A12E32">
        <w:rPr>
          <w:sz w:val="28"/>
          <w:szCs w:val="28"/>
        </w:rPr>
        <w:t xml:space="preserve"> проекта  </w:t>
      </w:r>
      <w:r w:rsidR="002663F1">
        <w:rPr>
          <w:sz w:val="28"/>
          <w:szCs w:val="28"/>
        </w:rPr>
        <w:t>р</w:t>
      </w:r>
      <w:r w:rsidR="002663F1" w:rsidRPr="00A12E32">
        <w:rPr>
          <w:sz w:val="28"/>
          <w:szCs w:val="28"/>
        </w:rPr>
        <w:t xml:space="preserve">ешения Думы </w:t>
      </w:r>
      <w:r w:rsidR="004A1577">
        <w:rPr>
          <w:sz w:val="28"/>
          <w:szCs w:val="28"/>
        </w:rPr>
        <w:t>района</w:t>
      </w:r>
      <w:r w:rsidR="002663F1" w:rsidRPr="00A12E32">
        <w:rPr>
          <w:sz w:val="28"/>
          <w:szCs w:val="28"/>
        </w:rPr>
        <w:t xml:space="preserve"> «О бюджете  на 201</w:t>
      </w:r>
      <w:r w:rsidR="00B538FF">
        <w:rPr>
          <w:sz w:val="28"/>
          <w:szCs w:val="28"/>
        </w:rPr>
        <w:t>4</w:t>
      </w:r>
      <w:r w:rsidR="002663F1" w:rsidRPr="00A12E32">
        <w:rPr>
          <w:sz w:val="28"/>
          <w:szCs w:val="28"/>
        </w:rPr>
        <w:t xml:space="preserve"> год</w:t>
      </w:r>
      <w:r w:rsidR="004A1577">
        <w:rPr>
          <w:sz w:val="28"/>
          <w:szCs w:val="28"/>
        </w:rPr>
        <w:t xml:space="preserve"> и плановый период 201</w:t>
      </w:r>
      <w:r w:rsidR="00B538FF">
        <w:rPr>
          <w:sz w:val="28"/>
          <w:szCs w:val="28"/>
        </w:rPr>
        <w:t>5</w:t>
      </w:r>
      <w:r w:rsidR="004A1577">
        <w:rPr>
          <w:sz w:val="28"/>
          <w:szCs w:val="28"/>
        </w:rPr>
        <w:t xml:space="preserve"> и 201</w:t>
      </w:r>
      <w:r w:rsidR="00B538FF">
        <w:rPr>
          <w:sz w:val="28"/>
          <w:szCs w:val="28"/>
        </w:rPr>
        <w:t>6</w:t>
      </w:r>
      <w:r w:rsidR="004A1577">
        <w:rPr>
          <w:sz w:val="28"/>
          <w:szCs w:val="28"/>
        </w:rPr>
        <w:t xml:space="preserve"> годов»</w:t>
      </w:r>
      <w:r w:rsidR="002663F1" w:rsidRPr="00A12E32">
        <w:rPr>
          <w:sz w:val="28"/>
          <w:szCs w:val="28"/>
        </w:rPr>
        <w:t xml:space="preserve"> </w:t>
      </w:r>
      <w:r w:rsidR="004A1577">
        <w:rPr>
          <w:sz w:val="28"/>
          <w:szCs w:val="28"/>
        </w:rPr>
        <w:t>утвержден объем дотаций на выравнивание бюджетной обеспеченности поселений: на 201</w:t>
      </w:r>
      <w:r w:rsidR="00B538FF">
        <w:rPr>
          <w:sz w:val="28"/>
          <w:szCs w:val="28"/>
        </w:rPr>
        <w:t>4</w:t>
      </w:r>
      <w:r w:rsidR="004A1577">
        <w:rPr>
          <w:sz w:val="28"/>
          <w:szCs w:val="28"/>
        </w:rPr>
        <w:t xml:space="preserve"> год – 5</w:t>
      </w:r>
      <w:r w:rsidR="00B538FF">
        <w:rPr>
          <w:sz w:val="28"/>
          <w:szCs w:val="28"/>
        </w:rPr>
        <w:t>765</w:t>
      </w:r>
      <w:r w:rsidR="004A1577">
        <w:rPr>
          <w:sz w:val="28"/>
          <w:szCs w:val="28"/>
        </w:rPr>
        <w:t>,0 тыс</w:t>
      </w:r>
      <w:proofErr w:type="gramStart"/>
      <w:r w:rsidR="004A1577">
        <w:rPr>
          <w:sz w:val="28"/>
          <w:szCs w:val="28"/>
        </w:rPr>
        <w:t>.р</w:t>
      </w:r>
      <w:proofErr w:type="gramEnd"/>
      <w:r w:rsidR="004A1577">
        <w:rPr>
          <w:sz w:val="28"/>
          <w:szCs w:val="28"/>
        </w:rPr>
        <w:t>уб., 201</w:t>
      </w:r>
      <w:r w:rsidR="00B538FF">
        <w:rPr>
          <w:sz w:val="28"/>
          <w:szCs w:val="28"/>
        </w:rPr>
        <w:t>5</w:t>
      </w:r>
      <w:r w:rsidR="004A1577">
        <w:rPr>
          <w:sz w:val="28"/>
          <w:szCs w:val="28"/>
        </w:rPr>
        <w:t xml:space="preserve"> год – </w:t>
      </w:r>
      <w:r w:rsidR="00B538FF">
        <w:rPr>
          <w:sz w:val="28"/>
          <w:szCs w:val="28"/>
        </w:rPr>
        <w:t>5802</w:t>
      </w:r>
      <w:r w:rsidR="004A1577">
        <w:rPr>
          <w:sz w:val="28"/>
          <w:szCs w:val="28"/>
        </w:rPr>
        <w:t>,0 тыс.руб., 201</w:t>
      </w:r>
      <w:r w:rsidR="00B538FF">
        <w:rPr>
          <w:sz w:val="28"/>
          <w:szCs w:val="28"/>
        </w:rPr>
        <w:t>6</w:t>
      </w:r>
      <w:r w:rsidR="004A1577">
        <w:rPr>
          <w:sz w:val="28"/>
          <w:szCs w:val="28"/>
        </w:rPr>
        <w:t xml:space="preserve"> год – </w:t>
      </w:r>
      <w:r w:rsidR="00B538FF">
        <w:rPr>
          <w:sz w:val="28"/>
          <w:szCs w:val="28"/>
        </w:rPr>
        <w:t>5847</w:t>
      </w:r>
      <w:r w:rsidR="004A1577">
        <w:rPr>
          <w:sz w:val="28"/>
          <w:szCs w:val="28"/>
        </w:rPr>
        <w:t>,0 тыс.руб.</w:t>
      </w:r>
      <w:r w:rsidR="002663F1" w:rsidRPr="00A12E32">
        <w:rPr>
          <w:sz w:val="28"/>
          <w:szCs w:val="28"/>
        </w:rPr>
        <w:t xml:space="preserve"> </w:t>
      </w:r>
    </w:p>
    <w:p w:rsidR="002E4316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  <w:r w:rsidR="00CC146F">
        <w:rPr>
          <w:sz w:val="28"/>
          <w:szCs w:val="28"/>
        </w:rPr>
        <w:t xml:space="preserve">                          </w:t>
      </w:r>
    </w:p>
    <w:p w:rsidR="00525511" w:rsidRPr="00525511" w:rsidRDefault="00CC146F" w:rsidP="002E4316">
      <w:pPr>
        <w:ind w:firstLine="708"/>
        <w:jc w:val="right"/>
        <w:rPr>
          <w:szCs w:val="24"/>
        </w:rPr>
      </w:pPr>
      <w:r>
        <w:rPr>
          <w:sz w:val="28"/>
          <w:szCs w:val="28"/>
        </w:rPr>
        <w:t xml:space="preserve">                               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</w:t>
      </w:r>
      <w:proofErr w:type="gramStart"/>
      <w:r w:rsidR="00525511">
        <w:rPr>
          <w:szCs w:val="24"/>
        </w:rPr>
        <w:t>.р</w:t>
      </w:r>
      <w:proofErr w:type="gramEnd"/>
      <w:r w:rsidR="00525511">
        <w:rPr>
          <w:szCs w:val="24"/>
        </w:rPr>
        <w:t>уб.)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27"/>
        <w:gridCol w:w="1028"/>
        <w:gridCol w:w="1027"/>
        <w:gridCol w:w="1028"/>
        <w:gridCol w:w="1205"/>
        <w:gridCol w:w="1063"/>
        <w:gridCol w:w="1133"/>
        <w:gridCol w:w="1133"/>
      </w:tblGrid>
      <w:tr w:rsidR="00525511" w:rsidRPr="004F39DE" w:rsidTr="00525511">
        <w:trPr>
          <w:trHeight w:val="375"/>
        </w:trPr>
        <w:tc>
          <w:tcPr>
            <w:tcW w:w="1101" w:type="dxa"/>
            <w:vMerge w:val="restart"/>
            <w:vAlign w:val="center"/>
          </w:tcPr>
          <w:p w:rsidR="00525511" w:rsidRPr="00525511" w:rsidRDefault="00525511" w:rsidP="004F39DE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525511" w:rsidRPr="00525511" w:rsidRDefault="00525511" w:rsidP="00B538FF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200</w:t>
            </w:r>
            <w:r w:rsidR="00B538FF">
              <w:rPr>
                <w:b/>
                <w:sz w:val="20"/>
              </w:rPr>
              <w:t>9</w:t>
            </w:r>
          </w:p>
        </w:tc>
        <w:tc>
          <w:tcPr>
            <w:tcW w:w="1028" w:type="dxa"/>
            <w:vMerge w:val="restart"/>
            <w:vAlign w:val="center"/>
          </w:tcPr>
          <w:p w:rsidR="00525511" w:rsidRPr="00525511" w:rsidRDefault="00525511" w:rsidP="00B538FF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</w:t>
            </w:r>
            <w:r w:rsidR="00B538FF">
              <w:rPr>
                <w:b/>
                <w:sz w:val="20"/>
              </w:rPr>
              <w:t>10</w:t>
            </w:r>
          </w:p>
        </w:tc>
        <w:tc>
          <w:tcPr>
            <w:tcW w:w="1027" w:type="dxa"/>
            <w:vMerge w:val="restart"/>
            <w:vAlign w:val="center"/>
          </w:tcPr>
          <w:p w:rsidR="00525511" w:rsidRPr="00525511" w:rsidRDefault="00525511" w:rsidP="00B538FF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 w:rsidR="00B538FF">
              <w:rPr>
                <w:b/>
                <w:sz w:val="20"/>
              </w:rPr>
              <w:t>1</w:t>
            </w:r>
          </w:p>
        </w:tc>
        <w:tc>
          <w:tcPr>
            <w:tcW w:w="1028" w:type="dxa"/>
            <w:vMerge w:val="restart"/>
            <w:vAlign w:val="center"/>
          </w:tcPr>
          <w:p w:rsidR="00525511" w:rsidRPr="00525511" w:rsidRDefault="00525511" w:rsidP="00B538FF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 w:rsidR="00B538FF">
              <w:rPr>
                <w:b/>
                <w:sz w:val="20"/>
              </w:rPr>
              <w:t>2</w:t>
            </w:r>
          </w:p>
        </w:tc>
        <w:tc>
          <w:tcPr>
            <w:tcW w:w="1205" w:type="dxa"/>
            <w:vMerge w:val="restart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 w:rsidR="00B538FF">
              <w:rPr>
                <w:b/>
                <w:sz w:val="20"/>
              </w:rPr>
              <w:t>3</w:t>
            </w:r>
          </w:p>
          <w:p w:rsidR="00525511" w:rsidRPr="00525511" w:rsidRDefault="00525511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1063" w:type="dxa"/>
            <w:vMerge w:val="restart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</w:t>
            </w:r>
            <w:r w:rsidR="00B538FF">
              <w:rPr>
                <w:b/>
                <w:sz w:val="20"/>
              </w:rPr>
              <w:t>4</w:t>
            </w:r>
          </w:p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266" w:type="dxa"/>
            <w:gridSpan w:val="2"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525511" w:rsidRPr="004F39DE" w:rsidTr="00525511">
        <w:trPr>
          <w:trHeight w:val="322"/>
        </w:trPr>
        <w:tc>
          <w:tcPr>
            <w:tcW w:w="1101" w:type="dxa"/>
            <w:vMerge/>
            <w:vAlign w:val="center"/>
          </w:tcPr>
          <w:p w:rsidR="00525511" w:rsidRPr="00525511" w:rsidRDefault="00525511" w:rsidP="004F39DE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8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8" w:type="dxa"/>
            <w:vMerge/>
            <w:vAlign w:val="center"/>
          </w:tcPr>
          <w:p w:rsidR="00525511" w:rsidRPr="00525511" w:rsidRDefault="00525511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205" w:type="dxa"/>
            <w:vMerge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525511" w:rsidRPr="00525511" w:rsidRDefault="00525511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525511" w:rsidRPr="00525511" w:rsidRDefault="00525511" w:rsidP="00B538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538FF">
              <w:rPr>
                <w:b/>
                <w:sz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525511" w:rsidRPr="00525511" w:rsidRDefault="00525511" w:rsidP="00B538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538FF">
              <w:rPr>
                <w:b/>
                <w:sz w:val="20"/>
              </w:rPr>
              <w:t>6</w:t>
            </w:r>
          </w:p>
        </w:tc>
      </w:tr>
      <w:tr w:rsidR="00B538F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B538FF" w:rsidRPr="00525511" w:rsidRDefault="00B538F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027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196708,6</w:t>
            </w:r>
          </w:p>
        </w:tc>
        <w:tc>
          <w:tcPr>
            <w:tcW w:w="1028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239505,7</w:t>
            </w:r>
          </w:p>
        </w:tc>
        <w:tc>
          <w:tcPr>
            <w:tcW w:w="1027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308734,4</w:t>
            </w:r>
          </w:p>
        </w:tc>
        <w:tc>
          <w:tcPr>
            <w:tcW w:w="1028" w:type="dxa"/>
            <w:vAlign w:val="center"/>
          </w:tcPr>
          <w:p w:rsidR="00B538FF" w:rsidRPr="00DF311F" w:rsidRDefault="001E0A2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367939,9</w:t>
            </w:r>
          </w:p>
        </w:tc>
        <w:tc>
          <w:tcPr>
            <w:tcW w:w="1205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484085,3</w:t>
            </w:r>
          </w:p>
        </w:tc>
        <w:tc>
          <w:tcPr>
            <w:tcW w:w="1063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281734,2</w:t>
            </w:r>
          </w:p>
        </w:tc>
        <w:tc>
          <w:tcPr>
            <w:tcW w:w="1133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294858,9</w:t>
            </w:r>
          </w:p>
        </w:tc>
        <w:tc>
          <w:tcPr>
            <w:tcW w:w="1133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314222,0</w:t>
            </w:r>
          </w:p>
        </w:tc>
      </w:tr>
      <w:tr w:rsidR="00B538F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B538FF" w:rsidRPr="00525511" w:rsidRDefault="00B538FF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027" w:type="dxa"/>
            <w:vAlign w:val="center"/>
          </w:tcPr>
          <w:p w:rsidR="00B538FF" w:rsidRPr="00DF311F" w:rsidRDefault="00B538F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8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027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028" w:type="dxa"/>
            <w:vAlign w:val="center"/>
          </w:tcPr>
          <w:p w:rsidR="00B538FF" w:rsidRPr="00DF311F" w:rsidRDefault="0007023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05" w:type="dxa"/>
            <w:vAlign w:val="center"/>
          </w:tcPr>
          <w:p w:rsidR="00B538FF" w:rsidRPr="00DF311F" w:rsidRDefault="0007023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063" w:type="dxa"/>
            <w:vAlign w:val="center"/>
          </w:tcPr>
          <w:p w:rsidR="00B538FF" w:rsidRPr="00DF311F" w:rsidRDefault="0007023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- 41,8</w:t>
            </w:r>
          </w:p>
        </w:tc>
        <w:tc>
          <w:tcPr>
            <w:tcW w:w="1133" w:type="dxa"/>
            <w:vAlign w:val="center"/>
          </w:tcPr>
          <w:p w:rsidR="00B538FF" w:rsidRPr="00DF311F" w:rsidRDefault="0007023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B538FF" w:rsidRPr="00DF311F" w:rsidRDefault="0007023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B538F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B538FF" w:rsidRPr="00525511" w:rsidRDefault="00B538F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027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196693,6</w:t>
            </w:r>
          </w:p>
        </w:tc>
        <w:tc>
          <w:tcPr>
            <w:tcW w:w="1028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239185,9</w:t>
            </w:r>
          </w:p>
        </w:tc>
        <w:tc>
          <w:tcPr>
            <w:tcW w:w="1027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309432,5</w:t>
            </w:r>
          </w:p>
        </w:tc>
        <w:tc>
          <w:tcPr>
            <w:tcW w:w="1028" w:type="dxa"/>
            <w:vAlign w:val="center"/>
          </w:tcPr>
          <w:p w:rsidR="00B538FF" w:rsidRPr="00DF311F" w:rsidRDefault="001E0A2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372948,1</w:t>
            </w:r>
          </w:p>
        </w:tc>
        <w:tc>
          <w:tcPr>
            <w:tcW w:w="1205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485146,4</w:t>
            </w:r>
          </w:p>
        </w:tc>
        <w:tc>
          <w:tcPr>
            <w:tcW w:w="1063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282953,8</w:t>
            </w:r>
          </w:p>
        </w:tc>
        <w:tc>
          <w:tcPr>
            <w:tcW w:w="1133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296163,0</w:t>
            </w:r>
          </w:p>
        </w:tc>
        <w:tc>
          <w:tcPr>
            <w:tcW w:w="1133" w:type="dxa"/>
            <w:vAlign w:val="center"/>
          </w:tcPr>
          <w:p w:rsidR="00B538FF" w:rsidRPr="00DF311F" w:rsidRDefault="00F6154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315611,6</w:t>
            </w:r>
          </w:p>
        </w:tc>
      </w:tr>
      <w:tr w:rsidR="00B538FF" w:rsidRPr="004F39DE" w:rsidTr="00DF311F">
        <w:trPr>
          <w:trHeight w:val="645"/>
        </w:trPr>
        <w:tc>
          <w:tcPr>
            <w:tcW w:w="1101" w:type="dxa"/>
            <w:vAlign w:val="center"/>
          </w:tcPr>
          <w:p w:rsidR="00B538FF" w:rsidRPr="00525511" w:rsidRDefault="00B538FF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027" w:type="dxa"/>
            <w:vAlign w:val="center"/>
          </w:tcPr>
          <w:p w:rsidR="00B538FF" w:rsidRPr="00C879DF" w:rsidRDefault="00B538F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8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 w:rsidRPr="00DF311F">
              <w:rPr>
                <w:sz w:val="20"/>
              </w:rPr>
              <w:t>21,6</w:t>
            </w:r>
          </w:p>
        </w:tc>
        <w:tc>
          <w:tcPr>
            <w:tcW w:w="1027" w:type="dxa"/>
            <w:vAlign w:val="center"/>
          </w:tcPr>
          <w:p w:rsidR="00B538FF" w:rsidRPr="00DF311F" w:rsidRDefault="00B538FF" w:rsidP="00B40E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028" w:type="dxa"/>
            <w:vAlign w:val="center"/>
          </w:tcPr>
          <w:p w:rsidR="00B538FF" w:rsidRPr="00DF311F" w:rsidRDefault="00C7758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205" w:type="dxa"/>
            <w:vAlign w:val="center"/>
          </w:tcPr>
          <w:p w:rsidR="00B538FF" w:rsidRPr="00DF311F" w:rsidRDefault="00C7758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063" w:type="dxa"/>
            <w:vAlign w:val="center"/>
          </w:tcPr>
          <w:p w:rsidR="00B538FF" w:rsidRPr="00DF311F" w:rsidRDefault="00C7758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- 41,7</w:t>
            </w:r>
          </w:p>
        </w:tc>
        <w:tc>
          <w:tcPr>
            <w:tcW w:w="1133" w:type="dxa"/>
            <w:vAlign w:val="center"/>
          </w:tcPr>
          <w:p w:rsidR="00B538FF" w:rsidRPr="00DF311F" w:rsidRDefault="00C7758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B538FF" w:rsidRPr="00DF311F" w:rsidRDefault="00C7758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</w:t>
      </w:r>
      <w:r w:rsidR="00BC296F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</w:t>
      </w:r>
      <w:r w:rsidR="00BC296F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годом  на </w:t>
      </w:r>
      <w:r w:rsidR="00C77583">
        <w:rPr>
          <w:sz w:val="28"/>
          <w:szCs w:val="28"/>
        </w:rPr>
        <w:t>31,6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>с увеличением поступления финансовой помощи из областного бюджета.</w:t>
      </w:r>
      <w:r w:rsidR="00F70818">
        <w:rPr>
          <w:sz w:val="28"/>
          <w:szCs w:val="28"/>
        </w:rPr>
        <w:t xml:space="preserve"> Прогнозируемые показатели на 201</w:t>
      </w:r>
      <w:r w:rsidR="00C77583">
        <w:rPr>
          <w:sz w:val="28"/>
          <w:szCs w:val="28"/>
        </w:rPr>
        <w:t>4</w:t>
      </w:r>
      <w:r w:rsidR="00F70818">
        <w:rPr>
          <w:sz w:val="28"/>
          <w:szCs w:val="28"/>
        </w:rPr>
        <w:t xml:space="preserve"> год и плановый период 201</w:t>
      </w:r>
      <w:r w:rsidR="00C77583">
        <w:rPr>
          <w:sz w:val="28"/>
          <w:szCs w:val="28"/>
        </w:rPr>
        <w:t>5</w:t>
      </w:r>
      <w:r w:rsidR="00F70818">
        <w:rPr>
          <w:sz w:val="28"/>
          <w:szCs w:val="28"/>
        </w:rPr>
        <w:t>-201</w:t>
      </w:r>
      <w:r w:rsidR="00C77583">
        <w:rPr>
          <w:sz w:val="28"/>
          <w:szCs w:val="28"/>
        </w:rPr>
        <w:t>6</w:t>
      </w:r>
      <w:r w:rsidR="00F70818">
        <w:rPr>
          <w:sz w:val="28"/>
          <w:szCs w:val="28"/>
        </w:rPr>
        <w:t xml:space="preserve">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>ркутской области «О бюджете Иркутской области на 201</w:t>
      </w:r>
      <w:r w:rsidR="00C77583">
        <w:rPr>
          <w:sz w:val="28"/>
          <w:szCs w:val="28"/>
        </w:rPr>
        <w:t>4</w:t>
      </w:r>
      <w:r w:rsidR="00F70818">
        <w:rPr>
          <w:sz w:val="28"/>
          <w:szCs w:val="28"/>
        </w:rPr>
        <w:t xml:space="preserve"> год и плановый период 201</w:t>
      </w:r>
      <w:r w:rsidR="00C77583">
        <w:rPr>
          <w:sz w:val="28"/>
          <w:szCs w:val="28"/>
        </w:rPr>
        <w:t>5</w:t>
      </w:r>
      <w:r w:rsidR="00F70818">
        <w:rPr>
          <w:sz w:val="28"/>
          <w:szCs w:val="28"/>
        </w:rPr>
        <w:t xml:space="preserve"> и 201</w:t>
      </w:r>
      <w:r w:rsidR="00C77583">
        <w:rPr>
          <w:sz w:val="28"/>
          <w:szCs w:val="28"/>
        </w:rPr>
        <w:t>6</w:t>
      </w:r>
      <w:r w:rsidR="00F70818">
        <w:rPr>
          <w:sz w:val="28"/>
          <w:szCs w:val="28"/>
        </w:rPr>
        <w:t xml:space="preserve">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По сравнению с ожидаемым исполнением  доходной части бюджета  </w:t>
      </w:r>
      <w:r w:rsidR="00756D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за 201</w:t>
      </w:r>
      <w:r w:rsidR="00C77583">
        <w:rPr>
          <w:sz w:val="28"/>
          <w:szCs w:val="28"/>
        </w:rPr>
        <w:t>3</w:t>
      </w:r>
      <w:r>
        <w:rPr>
          <w:sz w:val="28"/>
          <w:szCs w:val="28"/>
        </w:rPr>
        <w:t xml:space="preserve"> год  прогнозные показатели</w:t>
      </w:r>
      <w:r w:rsidR="00C77583">
        <w:rPr>
          <w:sz w:val="28"/>
          <w:szCs w:val="28"/>
        </w:rPr>
        <w:t xml:space="preserve"> 2014 года в </w:t>
      </w:r>
      <w:r>
        <w:rPr>
          <w:sz w:val="28"/>
          <w:szCs w:val="28"/>
        </w:rPr>
        <w:t xml:space="preserve">доходной части уменьшаются на </w:t>
      </w:r>
      <w:r w:rsidR="00C77583">
        <w:rPr>
          <w:sz w:val="28"/>
          <w:szCs w:val="28"/>
        </w:rPr>
        <w:t>202351,1</w:t>
      </w:r>
      <w:r>
        <w:rPr>
          <w:sz w:val="28"/>
          <w:szCs w:val="28"/>
        </w:rPr>
        <w:t xml:space="preserve"> тыс. руб., или на </w:t>
      </w:r>
      <w:r w:rsidR="00C77583">
        <w:rPr>
          <w:sz w:val="28"/>
          <w:szCs w:val="28"/>
        </w:rPr>
        <w:t>41,8</w:t>
      </w:r>
      <w:r>
        <w:rPr>
          <w:sz w:val="28"/>
          <w:szCs w:val="28"/>
        </w:rPr>
        <w:t xml:space="preserve">%, расходы уменьшаются на  </w:t>
      </w:r>
      <w:r w:rsidR="00C77583">
        <w:rPr>
          <w:sz w:val="28"/>
          <w:szCs w:val="28"/>
        </w:rPr>
        <w:t>202192,6</w:t>
      </w:r>
      <w:r>
        <w:rPr>
          <w:sz w:val="28"/>
          <w:szCs w:val="28"/>
        </w:rPr>
        <w:t xml:space="preserve"> тыс. руб., или на </w:t>
      </w:r>
      <w:r w:rsidR="00C77583">
        <w:rPr>
          <w:sz w:val="28"/>
          <w:szCs w:val="28"/>
        </w:rPr>
        <w:t>41,7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Default="00AD15BD" w:rsidP="00AD15BD">
      <w:pPr>
        <w:ind w:right="-55" w:firstLine="708"/>
        <w:jc w:val="both"/>
        <w:rPr>
          <w:sz w:val="28"/>
          <w:szCs w:val="28"/>
        </w:rPr>
      </w:pPr>
      <w:r>
        <w:rPr>
          <w:sz w:val="28"/>
        </w:rPr>
        <w:t>Анализ динамики основных параметров бюджета Баяндаевского района, сложившейся за период 201</w:t>
      </w:r>
      <w:r w:rsidR="00C77583">
        <w:rPr>
          <w:sz w:val="28"/>
        </w:rPr>
        <w:t>1</w:t>
      </w:r>
      <w:r>
        <w:rPr>
          <w:sz w:val="28"/>
        </w:rPr>
        <w:t xml:space="preserve"> – 201</w:t>
      </w:r>
      <w:r w:rsidR="00C77583">
        <w:rPr>
          <w:sz w:val="28"/>
        </w:rPr>
        <w:t>3</w:t>
      </w:r>
      <w:r>
        <w:rPr>
          <w:sz w:val="28"/>
        </w:rPr>
        <w:t>гг., показывает их существенное отклонение от прогнозируемых значений.</w:t>
      </w:r>
      <w:r>
        <w:rPr>
          <w:sz w:val="28"/>
        </w:rPr>
        <w:tab/>
      </w:r>
    </w:p>
    <w:p w:rsidR="009674B6" w:rsidRDefault="00AD15BD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Как видно из таблицы 2  фактические показатели в 201</w:t>
      </w:r>
      <w:r w:rsidR="00C77583">
        <w:rPr>
          <w:sz w:val="28"/>
          <w:szCs w:val="28"/>
        </w:rPr>
        <w:t>1</w:t>
      </w:r>
      <w:r>
        <w:rPr>
          <w:sz w:val="28"/>
          <w:szCs w:val="28"/>
        </w:rPr>
        <w:t xml:space="preserve"> и 201</w:t>
      </w:r>
      <w:r w:rsidR="00C775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годах, как по доходам, так и по расходам существенно отличаются от первоначально утвержденных назначений. </w:t>
      </w:r>
      <w:r w:rsidR="009674B6">
        <w:rPr>
          <w:sz w:val="28"/>
        </w:rPr>
        <w:t xml:space="preserve">          </w:t>
      </w:r>
    </w:p>
    <w:p w:rsidR="00180C2C" w:rsidRPr="00525511" w:rsidRDefault="009674B6" w:rsidP="009674B6">
      <w:pPr>
        <w:ind w:right="-55" w:firstLine="708"/>
        <w:jc w:val="right"/>
        <w:rPr>
          <w:szCs w:val="24"/>
        </w:rPr>
      </w:pPr>
      <w:r>
        <w:rPr>
          <w:sz w:val="28"/>
        </w:rPr>
        <w:t xml:space="preserve">                                               т</w:t>
      </w:r>
      <w:r w:rsidR="00180C2C" w:rsidRPr="00525511">
        <w:rPr>
          <w:szCs w:val="24"/>
        </w:rPr>
        <w:t xml:space="preserve">аблица </w:t>
      </w:r>
      <w:r w:rsidR="00525511">
        <w:rPr>
          <w:szCs w:val="24"/>
        </w:rPr>
        <w:t>2</w:t>
      </w:r>
      <w:r w:rsidR="00180C2C" w:rsidRPr="00525511">
        <w:rPr>
          <w:szCs w:val="24"/>
        </w:rPr>
        <w:t xml:space="preserve"> (тыс. руб.)</w:t>
      </w:r>
    </w:p>
    <w:tbl>
      <w:tblPr>
        <w:tblW w:w="9513" w:type="dxa"/>
        <w:tblInd w:w="93" w:type="dxa"/>
        <w:tblLayout w:type="fixed"/>
        <w:tblLook w:val="0000"/>
      </w:tblPr>
      <w:tblGrid>
        <w:gridCol w:w="610"/>
        <w:gridCol w:w="1957"/>
        <w:gridCol w:w="1276"/>
        <w:gridCol w:w="1134"/>
        <w:gridCol w:w="1134"/>
        <w:gridCol w:w="1275"/>
        <w:gridCol w:w="2127"/>
      </w:tblGrid>
      <w:tr w:rsidR="00180C2C" w:rsidTr="00C02B99">
        <w:trPr>
          <w:cantSplit/>
          <w:trHeight w:val="497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180C2C" w:rsidRPr="007C2506" w:rsidRDefault="00180C2C" w:rsidP="006C0E6B">
            <w:pPr>
              <w:jc w:val="center"/>
              <w:rPr>
                <w:sz w:val="18"/>
                <w:szCs w:val="18"/>
              </w:rPr>
            </w:pPr>
            <w:r w:rsidRPr="007C2506">
              <w:rPr>
                <w:sz w:val="18"/>
                <w:szCs w:val="18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80C2C" w:rsidRPr="007C2506" w:rsidRDefault="00180C2C" w:rsidP="00C02B9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9349EA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</w:t>
            </w:r>
            <w:r w:rsidR="00126BCC">
              <w:rPr>
                <w:b/>
                <w:bCs/>
                <w:sz w:val="18"/>
                <w:szCs w:val="18"/>
              </w:rPr>
              <w:t>1</w:t>
            </w:r>
            <w:r w:rsidR="009349EA">
              <w:rPr>
                <w:b/>
                <w:bCs/>
                <w:sz w:val="18"/>
                <w:szCs w:val="18"/>
              </w:rPr>
              <w:t>1</w:t>
            </w:r>
            <w:r w:rsidRPr="007C250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9349EA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9349EA">
              <w:rPr>
                <w:b/>
                <w:bCs/>
                <w:sz w:val="18"/>
                <w:szCs w:val="18"/>
              </w:rPr>
              <w:t>2</w:t>
            </w:r>
            <w:r w:rsidRPr="007C250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9349EA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201</w:t>
            </w:r>
            <w:r w:rsidR="009349EA">
              <w:rPr>
                <w:b/>
                <w:bCs/>
                <w:sz w:val="18"/>
                <w:szCs w:val="18"/>
              </w:rPr>
              <w:t>3</w:t>
            </w:r>
            <w:r w:rsidRPr="007C2506">
              <w:rPr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9349EA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201</w:t>
            </w:r>
            <w:r w:rsidR="009349EA">
              <w:rPr>
                <w:b/>
                <w:bCs/>
                <w:sz w:val="18"/>
                <w:szCs w:val="18"/>
              </w:rPr>
              <w:t>4</w:t>
            </w:r>
            <w:r w:rsidRPr="007C2506">
              <w:rPr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Pr="007C2506" w:rsidRDefault="00180C2C" w:rsidP="009349EA">
            <w:pPr>
              <w:jc w:val="center"/>
              <w:rPr>
                <w:b/>
                <w:bCs/>
                <w:sz w:val="18"/>
                <w:szCs w:val="18"/>
              </w:rPr>
            </w:pPr>
            <w:r w:rsidRPr="007C2506">
              <w:rPr>
                <w:b/>
                <w:bCs/>
                <w:sz w:val="18"/>
                <w:szCs w:val="18"/>
              </w:rPr>
              <w:t>отклонение прогноза 201</w:t>
            </w:r>
            <w:r w:rsidR="009349EA">
              <w:rPr>
                <w:b/>
                <w:bCs/>
                <w:sz w:val="18"/>
                <w:szCs w:val="18"/>
              </w:rPr>
              <w:t>4</w:t>
            </w:r>
            <w:r w:rsidRPr="007C2506">
              <w:rPr>
                <w:b/>
                <w:bCs/>
                <w:sz w:val="18"/>
                <w:szCs w:val="18"/>
              </w:rPr>
              <w:t xml:space="preserve"> года от оценки 201</w:t>
            </w:r>
            <w:r w:rsidR="009349EA">
              <w:rPr>
                <w:b/>
                <w:bCs/>
                <w:sz w:val="18"/>
                <w:szCs w:val="18"/>
              </w:rPr>
              <w:t>3</w:t>
            </w:r>
            <w:r w:rsidRPr="007C250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180C2C" w:rsidTr="00B31982">
        <w:trPr>
          <w:cantSplit/>
          <w:trHeight w:val="276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80C2C" w:rsidRDefault="00180C2C" w:rsidP="006C0E6B"/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0C2C" w:rsidRDefault="00180C2C" w:rsidP="006C0E6B">
            <w:pPr>
              <w:rPr>
                <w:b/>
                <w:bCs/>
              </w:rPr>
            </w:pPr>
          </w:p>
        </w:tc>
      </w:tr>
      <w:tr w:rsidR="009674B6" w:rsidTr="00B31982">
        <w:trPr>
          <w:cantSplit/>
          <w:trHeight w:val="27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sz w:val="20"/>
              </w:rPr>
            </w:pPr>
            <w:r w:rsidRPr="009674B6">
              <w:rPr>
                <w:sz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sz w:val="20"/>
              </w:rPr>
            </w:pPr>
            <w:r w:rsidRPr="009674B6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74B6" w:rsidRPr="009674B6" w:rsidRDefault="009674B6" w:rsidP="009674B6">
            <w:pPr>
              <w:jc w:val="center"/>
              <w:rPr>
                <w:bCs/>
                <w:sz w:val="20"/>
              </w:rPr>
            </w:pPr>
            <w:r w:rsidRPr="009674B6">
              <w:rPr>
                <w:bCs/>
                <w:sz w:val="20"/>
              </w:rPr>
              <w:t>7</w:t>
            </w:r>
          </w:p>
        </w:tc>
      </w:tr>
      <w:tr w:rsidR="009349EA" w:rsidTr="00B67DB2">
        <w:trPr>
          <w:cantSplit/>
          <w:trHeight w:val="52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9EA" w:rsidRDefault="009349EA" w:rsidP="006C0E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  <w:p w:rsidR="009349EA" w:rsidRDefault="009349EA" w:rsidP="006C0E6B">
            <w:pPr>
              <w:jc w:val="center"/>
              <w:rPr>
                <w:b/>
                <w:bCs/>
              </w:rPr>
            </w:pPr>
          </w:p>
          <w:p w:rsidR="009349EA" w:rsidRDefault="009349EA" w:rsidP="006C0E6B">
            <w:pPr>
              <w:jc w:val="center"/>
              <w:rPr>
                <w:b/>
                <w:bCs/>
              </w:rPr>
            </w:pPr>
          </w:p>
          <w:p w:rsidR="009349EA" w:rsidRDefault="009349EA" w:rsidP="006C0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55318E">
            <w:r w:rsidRPr="00D72F95">
              <w:t>Первоначальные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237010,9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072E33" w:rsidRDefault="00072E33" w:rsidP="00B67DB2">
            <w:pPr>
              <w:jc w:val="center"/>
              <w:rPr>
                <w:szCs w:val="24"/>
              </w:rPr>
            </w:pPr>
            <w:r w:rsidRPr="00072E33">
              <w:rPr>
                <w:szCs w:val="24"/>
              </w:rPr>
              <w:t>274953,6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863BD8" w:rsidP="00B67DB2">
            <w:pPr>
              <w:jc w:val="center"/>
            </w:pPr>
            <w:r>
              <w:t>234057,3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A15BB4" w:rsidP="00B67DB2">
            <w:pPr>
              <w:jc w:val="center"/>
            </w:pPr>
            <w:r>
              <w:t>281734,2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0AF5" w:rsidRPr="00D72F95" w:rsidRDefault="00C90AF5" w:rsidP="00C90AF5">
            <w:pPr>
              <w:jc w:val="center"/>
            </w:pPr>
            <w:r>
              <w:t>47676,9</w:t>
            </w:r>
          </w:p>
        </w:tc>
      </w:tr>
      <w:tr w:rsidR="009349EA" w:rsidTr="00B67DB2">
        <w:trPr>
          <w:trHeight w:val="3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EA" w:rsidRDefault="009349EA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9EA" w:rsidRPr="00D72F95" w:rsidRDefault="009349EA" w:rsidP="0055318E">
            <w:r w:rsidRPr="00D72F95">
              <w:t>Уточненные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309926,1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A82D8F" w:rsidP="00B67DB2">
            <w:pPr>
              <w:jc w:val="center"/>
            </w:pPr>
            <w:r>
              <w:t>367939,9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7A00B9" w:rsidP="00B67DB2">
            <w:pPr>
              <w:jc w:val="center"/>
            </w:pPr>
            <w:r>
              <w:t>484085,3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</w:pPr>
            <w:r>
              <w:t>-202351,1</w:t>
            </w:r>
          </w:p>
        </w:tc>
      </w:tr>
      <w:tr w:rsidR="009349EA" w:rsidTr="00B67DB2">
        <w:trPr>
          <w:trHeight w:val="3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EA" w:rsidRDefault="009349EA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55318E">
            <w:r w:rsidRPr="00D72F95"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308734,4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A82D8F" w:rsidP="00B67DB2">
            <w:pPr>
              <w:jc w:val="center"/>
            </w:pPr>
            <w:r>
              <w:t>369370,0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7A00B9" w:rsidP="00B67DB2">
            <w:pPr>
              <w:jc w:val="center"/>
            </w:pPr>
            <w:r>
              <w:t>484085,3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</w:pPr>
            <w:r>
              <w:t>-202351,1</w:t>
            </w:r>
          </w:p>
        </w:tc>
      </w:tr>
      <w:tr w:rsidR="009349EA" w:rsidTr="003B3B9A">
        <w:trPr>
          <w:trHeight w:val="7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EA" w:rsidRDefault="009349EA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9349EA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 xml:space="preserve">Отклонение </w:t>
            </w:r>
          </w:p>
          <w:p w:rsidR="009349EA" w:rsidRPr="00D72F95" w:rsidRDefault="009349EA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>(факт-прогноз)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9349EA" w:rsidP="00B4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71723,5</w:t>
            </w:r>
          </w:p>
          <w:p w:rsidR="009349EA" w:rsidRPr="00154078" w:rsidRDefault="009349EA" w:rsidP="00B4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94416,4</w:t>
            </w:r>
          </w:p>
          <w:p w:rsidR="00C90AF5" w:rsidRPr="00154078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250028,0</w:t>
            </w:r>
          </w:p>
          <w:p w:rsidR="00C90AF5" w:rsidRPr="00154078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</w:tr>
      <w:tr w:rsidR="009349EA" w:rsidTr="009674B6">
        <w:trPr>
          <w:cantSplit/>
          <w:trHeight w:val="61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9EA" w:rsidRDefault="009349EA" w:rsidP="006C0E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  <w:p w:rsidR="009349EA" w:rsidRDefault="009349EA" w:rsidP="006C0E6B">
            <w:pPr>
              <w:jc w:val="center"/>
              <w:rPr>
                <w:b/>
                <w:bCs/>
              </w:rPr>
            </w:pPr>
          </w:p>
          <w:p w:rsidR="009349EA" w:rsidRDefault="009349EA" w:rsidP="006C0E6B">
            <w:pPr>
              <w:jc w:val="center"/>
              <w:rPr>
                <w:b/>
                <w:bCs/>
              </w:rPr>
            </w:pPr>
          </w:p>
          <w:p w:rsidR="009349EA" w:rsidRDefault="009349EA" w:rsidP="006C0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55318E">
            <w:r w:rsidRPr="00D72F95">
              <w:t>Первоначальные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237966,6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072E33" w:rsidP="00B67DB2">
            <w:pPr>
              <w:jc w:val="center"/>
            </w:pPr>
            <w:r>
              <w:t>276044,3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863BD8" w:rsidP="00B67DB2">
            <w:pPr>
              <w:jc w:val="center"/>
            </w:pPr>
            <w:r>
              <w:t>235179,5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A15BB4" w:rsidP="00B67DB2">
            <w:pPr>
              <w:jc w:val="center"/>
            </w:pPr>
            <w:r>
              <w:t>282953,8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</w:pPr>
            <w:r>
              <w:t>47774,3</w:t>
            </w:r>
          </w:p>
        </w:tc>
      </w:tr>
      <w:tr w:rsidR="009349EA" w:rsidTr="009674B6">
        <w:trPr>
          <w:trHeight w:val="613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EA" w:rsidRDefault="009349EA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9EA" w:rsidRPr="00D72F95" w:rsidRDefault="009349EA" w:rsidP="0055318E">
            <w:r w:rsidRPr="00D72F95">
              <w:t>Уточненные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315902,7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A82D8F" w:rsidP="00B67DB2">
            <w:pPr>
              <w:jc w:val="center"/>
            </w:pPr>
            <w:r>
              <w:t>372948,1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0647C7" w:rsidP="00B67DB2">
            <w:pPr>
              <w:jc w:val="center"/>
            </w:pPr>
            <w:r>
              <w:t>485296,4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</w:pPr>
            <w:r>
              <w:t>-202342,6</w:t>
            </w:r>
          </w:p>
        </w:tc>
      </w:tr>
      <w:tr w:rsidR="009349EA" w:rsidTr="009674B6">
        <w:trPr>
          <w:trHeight w:val="479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EA" w:rsidRDefault="009349EA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55318E">
            <w:r w:rsidRPr="00D72F95"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  <w:rPr>
                <w:highlight w:val="yellow"/>
              </w:rPr>
            </w:pPr>
            <w:r w:rsidRPr="00D7667B">
              <w:t>309432,5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A82D8F" w:rsidP="00B67DB2">
            <w:pPr>
              <w:jc w:val="center"/>
              <w:rPr>
                <w:highlight w:val="yellow"/>
              </w:rPr>
            </w:pPr>
            <w:r w:rsidRPr="00A82D8F">
              <w:t>373092,8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7A00B9" w:rsidRDefault="007A00B9" w:rsidP="00B67DB2">
            <w:pPr>
              <w:jc w:val="center"/>
            </w:pPr>
            <w:r w:rsidRPr="007A00B9">
              <w:t>485146,4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</w:pPr>
            <w:r>
              <w:t>-202192,6</w:t>
            </w:r>
          </w:p>
        </w:tc>
      </w:tr>
      <w:tr w:rsidR="009349EA" w:rsidTr="009674B6">
        <w:trPr>
          <w:trHeight w:val="100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EA" w:rsidRDefault="009349EA" w:rsidP="006C0E6B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9349EA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 xml:space="preserve">Отклонение </w:t>
            </w:r>
          </w:p>
          <w:p w:rsidR="009349EA" w:rsidRPr="00D72F95" w:rsidRDefault="009349EA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>(факт-прогноз)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9349EA" w:rsidP="00B4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71465,9</w:t>
            </w:r>
          </w:p>
          <w:p w:rsidR="009349EA" w:rsidRPr="00D72F95" w:rsidRDefault="009349EA" w:rsidP="00B4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97048,5</w:t>
            </w:r>
          </w:p>
          <w:p w:rsidR="00C90AF5" w:rsidRPr="00D72F95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250116,9</w:t>
            </w:r>
          </w:p>
          <w:p w:rsidR="00C90AF5" w:rsidRPr="00D72F95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</w:tr>
      <w:tr w:rsidR="009349EA" w:rsidTr="00B67DB2">
        <w:trPr>
          <w:cantSplit/>
          <w:trHeight w:val="52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9349EA" w:rsidRDefault="009349EA" w:rsidP="009674B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</w:p>
          <w:p w:rsidR="009349EA" w:rsidRDefault="009349EA" w:rsidP="006C0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(-)</w:t>
            </w:r>
          </w:p>
          <w:p w:rsidR="009349EA" w:rsidRDefault="009349EA" w:rsidP="006C0E6B">
            <w:pPr>
              <w:jc w:val="center"/>
            </w:pPr>
          </w:p>
          <w:p w:rsidR="009349EA" w:rsidRDefault="009349EA" w:rsidP="006C0E6B">
            <w:pPr>
              <w:jc w:val="center"/>
            </w:pPr>
          </w:p>
          <w:p w:rsidR="009349EA" w:rsidRPr="00056F50" w:rsidRDefault="009349EA" w:rsidP="006C0E6B">
            <w:pPr>
              <w:jc w:val="center"/>
              <w:rPr>
                <w:b/>
                <w:bCs/>
              </w:rPr>
            </w:pPr>
            <w:r w:rsidRPr="00056F50">
              <w:rPr>
                <w:b/>
              </w:rPr>
              <w:t>Дефицит</w:t>
            </w:r>
            <w:proofErr w:type="gramStart"/>
            <w:r w:rsidRPr="00056F50">
              <w:rPr>
                <w:b/>
              </w:rPr>
              <w:t xml:space="preserve"> (-), </w:t>
            </w:r>
            <w:proofErr w:type="spellStart"/>
            <w:proofErr w:type="gramEnd"/>
            <w:r w:rsidRPr="00056F50">
              <w:rPr>
                <w:b/>
              </w:rPr>
              <w:t>профицит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9EA" w:rsidRPr="00D72F95" w:rsidRDefault="009349EA" w:rsidP="0055318E">
            <w:r w:rsidRPr="00D72F95">
              <w:t>Первоначальные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-955,7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9EA" w:rsidRPr="00D72F95" w:rsidRDefault="00097D52" w:rsidP="00B67DB2">
            <w:pPr>
              <w:jc w:val="center"/>
            </w:pPr>
            <w:r>
              <w:t>-</w:t>
            </w:r>
            <w:r w:rsidR="00072E33">
              <w:t>1090,7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9EA" w:rsidRPr="00D72F95" w:rsidRDefault="00863BD8" w:rsidP="00B67DB2">
            <w:pPr>
              <w:jc w:val="center"/>
            </w:pPr>
            <w:r>
              <w:t>1122,2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9EA" w:rsidRPr="00D72F95" w:rsidRDefault="00A15BB4" w:rsidP="00B67DB2">
            <w:pPr>
              <w:jc w:val="center"/>
            </w:pPr>
            <w:r>
              <w:t>1219,6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</w:tr>
      <w:tr w:rsidR="009349EA" w:rsidTr="00B67DB2">
        <w:trPr>
          <w:trHeight w:val="316"/>
        </w:trPr>
        <w:tc>
          <w:tcPr>
            <w:tcW w:w="6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9EA" w:rsidRDefault="009349EA" w:rsidP="006C0E6B"/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49EA" w:rsidRPr="00D72F95" w:rsidRDefault="009349EA" w:rsidP="0055318E">
            <w:r w:rsidRPr="00D72F95">
              <w:t>Уточненные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-493,6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097D52" w:rsidP="00B67DB2">
            <w:pPr>
              <w:jc w:val="center"/>
            </w:pPr>
            <w:r>
              <w:t>-</w:t>
            </w:r>
            <w:r w:rsidR="00B6035D">
              <w:t>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0647C7" w:rsidP="00B67DB2">
            <w:pPr>
              <w:jc w:val="center"/>
            </w:pPr>
            <w:r>
              <w:t>1211,1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</w:tr>
      <w:tr w:rsidR="009349EA" w:rsidTr="00BD68DF">
        <w:trPr>
          <w:trHeight w:val="321"/>
        </w:trPr>
        <w:tc>
          <w:tcPr>
            <w:tcW w:w="6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49EA" w:rsidRDefault="009349EA" w:rsidP="006C0E6B"/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55318E">
            <w:r w:rsidRPr="00D72F95"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</w:pPr>
            <w:r>
              <w:t>-698,1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</w:pPr>
            <w:r>
              <w:t>-3722,8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</w:pPr>
            <w:r>
              <w:t>1061,1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</w:tr>
      <w:tr w:rsidR="009349EA" w:rsidTr="00B67DB2">
        <w:trPr>
          <w:trHeight w:val="685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9EA" w:rsidRDefault="009349EA" w:rsidP="006C0E6B"/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Default="009349EA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 xml:space="preserve">Отклонение </w:t>
            </w:r>
          </w:p>
          <w:p w:rsidR="009349EA" w:rsidRPr="00D72F95" w:rsidRDefault="009349EA" w:rsidP="0055318E">
            <w:pPr>
              <w:rPr>
                <w:b/>
                <w:bCs/>
              </w:rPr>
            </w:pPr>
            <w:r w:rsidRPr="00D72F95">
              <w:rPr>
                <w:b/>
                <w:bCs/>
              </w:rPr>
              <w:t>(факт-прогноз)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4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C90AF5" w:rsidP="00B6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49EA" w:rsidRPr="00D72F95" w:rsidRDefault="009349EA" w:rsidP="00B67DB2">
            <w:pPr>
              <w:jc w:val="center"/>
            </w:pPr>
            <w:r>
              <w:t>Х</w:t>
            </w:r>
          </w:p>
        </w:tc>
      </w:tr>
    </w:tbl>
    <w:p w:rsidR="009674B6" w:rsidRDefault="009674B6" w:rsidP="003B53D9">
      <w:pPr>
        <w:ind w:right="-55" w:firstLine="708"/>
        <w:jc w:val="both"/>
        <w:rPr>
          <w:sz w:val="28"/>
        </w:rPr>
      </w:pPr>
    </w:p>
    <w:p w:rsidR="003C05CD" w:rsidRDefault="003C05CD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201</w:t>
      </w:r>
      <w:r w:rsidR="00DD3AB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превышение исполнения бюджета по доходам над прогнозируемыми доходами составило </w:t>
      </w:r>
      <w:r w:rsidR="00DD3AB0">
        <w:rPr>
          <w:sz w:val="28"/>
          <w:szCs w:val="28"/>
        </w:rPr>
        <w:t>30,3</w:t>
      </w:r>
      <w:r>
        <w:rPr>
          <w:sz w:val="28"/>
          <w:szCs w:val="28"/>
        </w:rPr>
        <w:t>%, в 201</w:t>
      </w:r>
      <w:r w:rsidR="00DD3AB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превышение составило 3</w:t>
      </w:r>
      <w:r w:rsidR="00DD3AB0">
        <w:rPr>
          <w:sz w:val="28"/>
          <w:szCs w:val="28"/>
        </w:rPr>
        <w:t>4</w:t>
      </w:r>
      <w:r>
        <w:rPr>
          <w:sz w:val="28"/>
          <w:szCs w:val="28"/>
        </w:rPr>
        <w:t>,3%, по итогам 201</w:t>
      </w:r>
      <w:r w:rsidR="00DD3A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ожидаемое исполнение по доходам больше на </w:t>
      </w:r>
      <w:r w:rsidR="00DD3AB0">
        <w:rPr>
          <w:sz w:val="28"/>
          <w:szCs w:val="28"/>
        </w:rPr>
        <w:t>250028,0</w:t>
      </w:r>
      <w:r>
        <w:rPr>
          <w:sz w:val="28"/>
          <w:szCs w:val="28"/>
        </w:rPr>
        <w:t xml:space="preserve"> тыс. руб. или на </w:t>
      </w:r>
      <w:r w:rsidR="00DD3AB0">
        <w:rPr>
          <w:sz w:val="28"/>
          <w:szCs w:val="28"/>
        </w:rPr>
        <w:t>106,8</w:t>
      </w:r>
      <w:r>
        <w:rPr>
          <w:sz w:val="28"/>
          <w:szCs w:val="28"/>
        </w:rPr>
        <w:t xml:space="preserve">% от прогнозируемых </w:t>
      </w:r>
      <w:r w:rsidR="00DD3AB0">
        <w:rPr>
          <w:sz w:val="28"/>
          <w:szCs w:val="28"/>
        </w:rPr>
        <w:t xml:space="preserve">первоначально </w:t>
      </w:r>
      <w:r>
        <w:rPr>
          <w:sz w:val="28"/>
          <w:szCs w:val="28"/>
        </w:rPr>
        <w:t xml:space="preserve">доходов. Такое существенное отклонение исполнения бюджета по доходам от первоначально планируемых объясняется в основном увеличением в течение года безвозмездных поступлений от бюджетов других уровней, что так же оказывает влияние и на изменение расходной части. </w:t>
      </w:r>
    </w:p>
    <w:p w:rsidR="003C05CD" w:rsidRDefault="003C05CD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расходам превышение исполнения бюджета над прогнозируемыми параметрами в 201</w:t>
      </w:r>
      <w:r w:rsidR="00DD3AB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составило </w:t>
      </w:r>
      <w:r w:rsidR="00DD3AB0">
        <w:rPr>
          <w:sz w:val="28"/>
          <w:szCs w:val="28"/>
        </w:rPr>
        <w:t>30,0</w:t>
      </w:r>
      <w:r>
        <w:rPr>
          <w:sz w:val="28"/>
          <w:szCs w:val="28"/>
        </w:rPr>
        <w:t>%, в 201</w:t>
      </w:r>
      <w:r w:rsidR="00DD3AB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превышение составило 3</w:t>
      </w:r>
      <w:r w:rsidR="00DD3AB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D3AB0">
        <w:rPr>
          <w:sz w:val="28"/>
          <w:szCs w:val="28"/>
        </w:rPr>
        <w:t>2</w:t>
      </w:r>
      <w:r>
        <w:rPr>
          <w:sz w:val="28"/>
          <w:szCs w:val="28"/>
        </w:rPr>
        <w:t>%, по итогам 201</w:t>
      </w:r>
      <w:r w:rsidR="00DD3A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ожидаемое исполнение по расходам больше первоначального прогноза 201</w:t>
      </w:r>
      <w:r w:rsidR="00DD3A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DD3AB0">
        <w:rPr>
          <w:sz w:val="28"/>
          <w:szCs w:val="28"/>
        </w:rPr>
        <w:t>250116,9</w:t>
      </w:r>
      <w:r>
        <w:rPr>
          <w:sz w:val="28"/>
          <w:szCs w:val="28"/>
        </w:rPr>
        <w:t xml:space="preserve"> тыс. руб. или на </w:t>
      </w:r>
      <w:r w:rsidR="00DD3AB0">
        <w:rPr>
          <w:sz w:val="28"/>
          <w:szCs w:val="28"/>
        </w:rPr>
        <w:t>106,3</w:t>
      </w:r>
      <w:r>
        <w:rPr>
          <w:sz w:val="28"/>
          <w:szCs w:val="28"/>
        </w:rPr>
        <w:t>%.</w:t>
      </w:r>
    </w:p>
    <w:p w:rsidR="003C05CD" w:rsidRPr="00DD3AB0" w:rsidRDefault="003C05CD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показатели 201</w:t>
      </w:r>
      <w:r w:rsidR="00DD3AB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DD3AB0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 утвержденных показателей 201</w:t>
      </w:r>
      <w:r w:rsidR="00DD3A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как по </w:t>
      </w:r>
      <w:r w:rsidRPr="00DD3AB0">
        <w:rPr>
          <w:sz w:val="28"/>
          <w:szCs w:val="28"/>
        </w:rPr>
        <w:t xml:space="preserve">доходам (на </w:t>
      </w:r>
      <w:r w:rsidR="00DD3AB0" w:rsidRPr="00DD3AB0">
        <w:rPr>
          <w:sz w:val="28"/>
          <w:szCs w:val="28"/>
        </w:rPr>
        <w:t>47676,9</w:t>
      </w:r>
      <w:r w:rsidRPr="00DD3AB0">
        <w:rPr>
          <w:sz w:val="28"/>
          <w:szCs w:val="28"/>
        </w:rPr>
        <w:t xml:space="preserve"> тыс. руб. или на </w:t>
      </w:r>
      <w:r w:rsidR="00DD3AB0" w:rsidRPr="00DD3AB0">
        <w:rPr>
          <w:sz w:val="28"/>
          <w:szCs w:val="28"/>
        </w:rPr>
        <w:t>20,4</w:t>
      </w:r>
      <w:r w:rsidRPr="00DD3AB0">
        <w:rPr>
          <w:sz w:val="28"/>
          <w:szCs w:val="28"/>
        </w:rPr>
        <w:t>%)</w:t>
      </w:r>
      <w:r w:rsidR="00155C0E" w:rsidRPr="00DD3AB0">
        <w:rPr>
          <w:sz w:val="28"/>
          <w:szCs w:val="28"/>
        </w:rPr>
        <w:t>,</w:t>
      </w:r>
      <w:r w:rsidRPr="00DD3AB0">
        <w:rPr>
          <w:sz w:val="28"/>
          <w:szCs w:val="28"/>
        </w:rPr>
        <w:t xml:space="preserve"> так и по расходам (на </w:t>
      </w:r>
      <w:r w:rsidR="00DD3AB0" w:rsidRPr="00DD3AB0">
        <w:rPr>
          <w:sz w:val="28"/>
          <w:szCs w:val="28"/>
        </w:rPr>
        <w:t>47774,3</w:t>
      </w:r>
      <w:r w:rsidRPr="00DD3AB0">
        <w:rPr>
          <w:sz w:val="28"/>
          <w:szCs w:val="28"/>
        </w:rPr>
        <w:t xml:space="preserve"> тыс. руб. или на </w:t>
      </w:r>
      <w:r w:rsidR="00DD3AB0" w:rsidRPr="00DD3AB0">
        <w:rPr>
          <w:sz w:val="28"/>
          <w:szCs w:val="28"/>
        </w:rPr>
        <w:t>20,3</w:t>
      </w:r>
      <w:r w:rsidRPr="00DD3AB0">
        <w:rPr>
          <w:sz w:val="28"/>
          <w:szCs w:val="28"/>
        </w:rPr>
        <w:t>%).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 xml:space="preserve">. Доходы бюджета МО «Баяндаевский район» </w:t>
      </w:r>
    </w:p>
    <w:p w:rsidR="002E4316" w:rsidRDefault="002E4316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«Баяндаевский район»</w:t>
      </w:r>
      <w:r>
        <w:rPr>
          <w:sz w:val="28"/>
          <w:szCs w:val="28"/>
        </w:rPr>
        <w:t xml:space="preserve"> прогнозируются на 201</w:t>
      </w:r>
      <w:r w:rsidR="00DD3AB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62514E">
        <w:rPr>
          <w:sz w:val="28"/>
          <w:szCs w:val="28"/>
        </w:rPr>
        <w:t>281734,2</w:t>
      </w:r>
      <w:r>
        <w:rPr>
          <w:sz w:val="28"/>
          <w:szCs w:val="28"/>
        </w:rPr>
        <w:t xml:space="preserve"> тыс. руб., что к ожидаемому поступлению доходов в 201</w:t>
      </w:r>
      <w:r w:rsidR="00DD3AB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составляет </w:t>
      </w:r>
      <w:r w:rsidR="0062514E">
        <w:rPr>
          <w:sz w:val="28"/>
          <w:szCs w:val="28"/>
        </w:rPr>
        <w:t>58,2</w:t>
      </w:r>
      <w:r>
        <w:rPr>
          <w:sz w:val="28"/>
          <w:szCs w:val="28"/>
        </w:rPr>
        <w:t xml:space="preserve"> процента. Данные по доходам бюджета </w:t>
      </w:r>
      <w:r w:rsidR="002C38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201</w:t>
      </w:r>
      <w:r w:rsidR="0062514E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62514E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представлены в таблице </w:t>
      </w:r>
      <w:r w:rsidR="0052551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52551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525511">
              <w:t>3</w:t>
            </w:r>
            <w:r>
              <w:t xml:space="preserve">  (тыс. руб.)    </w:t>
            </w:r>
          </w:p>
        </w:tc>
      </w:tr>
      <w:tr w:rsidR="0090613D" w:rsidRPr="007551FA" w:rsidTr="00155C0E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310BA8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310BA8">
              <w:rPr>
                <w:bCs/>
                <w:sz w:val="18"/>
                <w:szCs w:val="18"/>
              </w:rPr>
              <w:t>3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310BA8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310BA8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310BA8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310BA8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310BA8">
              <w:rPr>
                <w:bCs/>
                <w:sz w:val="18"/>
                <w:szCs w:val="18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</w:t>
            </w:r>
            <w:proofErr w:type="gramStart"/>
            <w:r w:rsidRPr="006C0E6B">
              <w:rPr>
                <w:bCs/>
                <w:sz w:val="18"/>
                <w:szCs w:val="18"/>
              </w:rPr>
              <w:t xml:space="preserve">               (%)</w:t>
            </w:r>
            <w:proofErr w:type="gramEnd"/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155C0E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310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310BA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310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310BA8">
              <w:rPr>
                <w:bCs/>
                <w:sz w:val="18"/>
                <w:szCs w:val="18"/>
              </w:rPr>
              <w:t>6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 w:rsidR="0090613D"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2514E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73A96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27792,4</w:t>
            </w:r>
          </w:p>
        </w:tc>
      </w:tr>
      <w:tr w:rsidR="006C0E6B" w:rsidRPr="00B953A1" w:rsidTr="00155C0E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2514E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21425,4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73A96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23429,4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25071,3</w:t>
            </w:r>
          </w:p>
        </w:tc>
      </w:tr>
      <w:tr w:rsidR="006C0E6B" w:rsidRPr="00B953A1" w:rsidTr="00155C0E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C0E6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2514E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73A96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2721,1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6C0E6B" w:rsidRDefault="006C0E6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2514E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459863,7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73A96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-202522,5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268776,1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286429,6</w:t>
            </w:r>
          </w:p>
        </w:tc>
      </w:tr>
      <w:tr w:rsidR="006C0E6B" w:rsidRPr="007551FA" w:rsidTr="00155C0E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6C0E6B" w:rsidRDefault="006C0E6B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2514E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673A96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-202351,1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E6B" w:rsidRPr="00155C0E" w:rsidRDefault="00E57BDB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294858,9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6B" w:rsidRPr="00155C0E" w:rsidRDefault="00673A96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314222,0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Default="003B53D9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(налоговые и неналоговые) по сравнению с ожидаемым исполнением 201</w:t>
      </w:r>
      <w:r w:rsidR="008B7C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8B7C9B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на </w:t>
      </w:r>
      <w:r w:rsidR="008B7C9B">
        <w:rPr>
          <w:sz w:val="28"/>
          <w:szCs w:val="28"/>
        </w:rPr>
        <w:t>171,4</w:t>
      </w:r>
      <w:r>
        <w:rPr>
          <w:sz w:val="28"/>
          <w:szCs w:val="28"/>
        </w:rPr>
        <w:t xml:space="preserve"> тыс. руб., или на </w:t>
      </w:r>
      <w:r w:rsidR="008B7C9B">
        <w:rPr>
          <w:sz w:val="28"/>
          <w:szCs w:val="28"/>
        </w:rPr>
        <w:t>0,7</w:t>
      </w:r>
      <w:r>
        <w:rPr>
          <w:sz w:val="28"/>
          <w:szCs w:val="28"/>
        </w:rPr>
        <w:t xml:space="preserve">%. </w:t>
      </w:r>
      <w:r w:rsidR="008B7C9B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связано в основном с у</w:t>
      </w:r>
      <w:r w:rsidR="006C0E6B">
        <w:rPr>
          <w:sz w:val="28"/>
          <w:szCs w:val="28"/>
        </w:rPr>
        <w:t>меньшением</w:t>
      </w:r>
      <w:r>
        <w:rPr>
          <w:sz w:val="28"/>
          <w:szCs w:val="28"/>
        </w:rPr>
        <w:t xml:space="preserve"> прогноза поступлений по налоговым  доходам.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8B7C9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планируется в сумме </w:t>
      </w:r>
      <w:r w:rsidR="008B7C9B">
        <w:rPr>
          <w:sz w:val="28"/>
          <w:szCs w:val="28"/>
        </w:rPr>
        <w:t>257341,2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ниже ожидаемых показателей 201</w:t>
      </w:r>
      <w:r w:rsidR="008B7C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8B7C9B">
        <w:rPr>
          <w:sz w:val="28"/>
          <w:szCs w:val="28"/>
        </w:rPr>
        <w:t>202522,5</w:t>
      </w:r>
      <w:r>
        <w:rPr>
          <w:sz w:val="28"/>
          <w:szCs w:val="28"/>
        </w:rPr>
        <w:t xml:space="preserve"> тыс.руб. или на </w:t>
      </w:r>
      <w:r w:rsidR="008B7C9B">
        <w:rPr>
          <w:sz w:val="28"/>
          <w:szCs w:val="28"/>
        </w:rPr>
        <w:t>44,04</w:t>
      </w:r>
      <w:r>
        <w:rPr>
          <w:sz w:val="28"/>
          <w:szCs w:val="28"/>
        </w:rPr>
        <w:t xml:space="preserve">%.  Данное снижение связано со значительным сокращением субсидий, поступающих из бюджетов других уровней.  </w:t>
      </w:r>
    </w:p>
    <w:p w:rsidR="003B53D9" w:rsidRPr="00B40EFC" w:rsidRDefault="003B53D9" w:rsidP="00CC146F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5878BE">
        <w:rPr>
          <w:sz w:val="28"/>
        </w:rPr>
        <w:t xml:space="preserve">Динамика роста налоговых доходов бюджета </w:t>
      </w:r>
      <w:r w:rsidR="005C327D">
        <w:rPr>
          <w:sz w:val="28"/>
        </w:rPr>
        <w:t>района в плановом периоде</w:t>
      </w:r>
      <w:r w:rsidRPr="005878BE">
        <w:rPr>
          <w:sz w:val="28"/>
        </w:rPr>
        <w:t xml:space="preserve"> в целом согласуется с динамикой макроэкономических показателей, представленных в Прогнозе социально-экономического развития </w:t>
      </w:r>
      <w:r w:rsidR="005C327D">
        <w:rPr>
          <w:sz w:val="28"/>
        </w:rPr>
        <w:t xml:space="preserve">Баяндаевского </w:t>
      </w:r>
      <w:r w:rsidR="005C327D" w:rsidRPr="00B40EFC">
        <w:rPr>
          <w:sz w:val="28"/>
        </w:rPr>
        <w:t>района</w:t>
      </w:r>
      <w:r w:rsidRPr="00B40EFC">
        <w:rPr>
          <w:sz w:val="28"/>
        </w:rPr>
        <w:t xml:space="preserve"> </w:t>
      </w:r>
      <w:r w:rsidR="00AD15BD" w:rsidRPr="00B40EFC">
        <w:rPr>
          <w:sz w:val="28"/>
        </w:rPr>
        <w:t xml:space="preserve"> </w:t>
      </w:r>
      <w:r w:rsidRPr="00B40EFC">
        <w:rPr>
          <w:sz w:val="28"/>
        </w:rPr>
        <w:t>(</w:t>
      </w:r>
      <w:r w:rsidR="00AD15BD" w:rsidRPr="00B40EFC">
        <w:rPr>
          <w:sz w:val="28"/>
        </w:rPr>
        <w:t>в</w:t>
      </w:r>
      <w:r w:rsidR="00E06E20" w:rsidRPr="00B40EFC">
        <w:rPr>
          <w:sz w:val="28"/>
        </w:rPr>
        <w:t>ыручка от реализации продукции, работ, услуг</w:t>
      </w:r>
      <w:r w:rsidRPr="00B40EFC">
        <w:rPr>
          <w:sz w:val="28"/>
        </w:rPr>
        <w:t xml:space="preserve"> – в </w:t>
      </w:r>
      <w:r w:rsidR="00E06E20" w:rsidRPr="00B40EFC">
        <w:rPr>
          <w:sz w:val="28"/>
        </w:rPr>
        <w:t>201</w:t>
      </w:r>
      <w:r w:rsidR="008B7C9B" w:rsidRPr="00B40EFC">
        <w:rPr>
          <w:sz w:val="28"/>
        </w:rPr>
        <w:t>6</w:t>
      </w:r>
      <w:r w:rsidR="00E06E20" w:rsidRPr="00B40EFC">
        <w:rPr>
          <w:sz w:val="28"/>
        </w:rPr>
        <w:t xml:space="preserve"> году увеличивается на </w:t>
      </w:r>
      <w:r w:rsidR="00B40EFC" w:rsidRPr="00B40EFC">
        <w:rPr>
          <w:sz w:val="28"/>
        </w:rPr>
        <w:t>39,03</w:t>
      </w:r>
      <w:r w:rsidR="00E06E20" w:rsidRPr="00B40EFC">
        <w:rPr>
          <w:sz w:val="28"/>
        </w:rPr>
        <w:t xml:space="preserve"> </w:t>
      </w:r>
      <w:r w:rsidR="00B40EFC" w:rsidRPr="00B40EFC">
        <w:rPr>
          <w:sz w:val="28"/>
        </w:rPr>
        <w:t>млн</w:t>
      </w:r>
      <w:proofErr w:type="gramStart"/>
      <w:r w:rsidR="00E06E20" w:rsidRPr="00B40EFC">
        <w:rPr>
          <w:sz w:val="28"/>
        </w:rPr>
        <w:t>.р</w:t>
      </w:r>
      <w:proofErr w:type="gramEnd"/>
      <w:r w:rsidR="00E06E20" w:rsidRPr="00B40EFC">
        <w:rPr>
          <w:sz w:val="28"/>
        </w:rPr>
        <w:t xml:space="preserve">уб. или на </w:t>
      </w:r>
      <w:r w:rsidR="00B40EFC" w:rsidRPr="00B40EFC">
        <w:rPr>
          <w:sz w:val="28"/>
        </w:rPr>
        <w:t>7</w:t>
      </w:r>
      <w:r w:rsidR="00E06E20" w:rsidRPr="00B40EFC">
        <w:rPr>
          <w:sz w:val="28"/>
        </w:rPr>
        <w:t>%</w:t>
      </w:r>
      <w:r w:rsidRPr="00B40EFC">
        <w:rPr>
          <w:sz w:val="28"/>
        </w:rPr>
        <w:t xml:space="preserve">). </w:t>
      </w:r>
    </w:p>
    <w:p w:rsidR="005317CC" w:rsidRPr="00B40EFC" w:rsidRDefault="005317CC" w:rsidP="00CC146F">
      <w:pPr>
        <w:jc w:val="both"/>
        <w:rPr>
          <w:szCs w:val="24"/>
        </w:rPr>
      </w:pPr>
    </w:p>
    <w:p w:rsidR="00AD15BD" w:rsidRDefault="003B53D9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541696">
        <w:rPr>
          <w:sz w:val="28"/>
          <w:szCs w:val="28"/>
        </w:rPr>
        <w:t>Баяндаевского района</w:t>
      </w:r>
      <w:r>
        <w:rPr>
          <w:sz w:val="28"/>
          <w:szCs w:val="28"/>
        </w:rPr>
        <w:t xml:space="preserve"> произведен Контрольно-счетной палатой с учетом сложившейся динамики поступления доходов за предыдущие периоды и с учетом изменений законодательства. </w:t>
      </w:r>
    </w:p>
    <w:p w:rsidR="005317CC" w:rsidRDefault="005317CC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tbl>
      <w:tblPr>
        <w:tblW w:w="9653" w:type="dxa"/>
        <w:tblInd w:w="93" w:type="dxa"/>
        <w:tblLayout w:type="fixed"/>
        <w:tblLook w:val="0000"/>
      </w:tblPr>
      <w:tblGrid>
        <w:gridCol w:w="2850"/>
        <w:gridCol w:w="992"/>
        <w:gridCol w:w="992"/>
        <w:gridCol w:w="993"/>
        <w:gridCol w:w="992"/>
        <w:gridCol w:w="993"/>
        <w:gridCol w:w="920"/>
        <w:gridCol w:w="921"/>
      </w:tblGrid>
      <w:tr w:rsidR="00A84FE8" w:rsidRPr="00A26020" w:rsidTr="008836C0">
        <w:trPr>
          <w:trHeight w:val="271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FE8" w:rsidRPr="00525511" w:rsidRDefault="00A84FE8" w:rsidP="00525511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lastRenderedPageBreak/>
              <w:t xml:space="preserve">Таблица </w:t>
            </w:r>
            <w:r w:rsidR="00525511">
              <w:rPr>
                <w:szCs w:val="24"/>
              </w:rPr>
              <w:t>4 (тыс</w:t>
            </w:r>
            <w:proofErr w:type="gramStart"/>
            <w:r w:rsidR="00525511">
              <w:rPr>
                <w:szCs w:val="24"/>
              </w:rPr>
              <w:t>.р</w:t>
            </w:r>
            <w:proofErr w:type="gramEnd"/>
            <w:r w:rsidR="00525511">
              <w:rPr>
                <w:szCs w:val="24"/>
              </w:rPr>
              <w:t>уб.)</w:t>
            </w:r>
          </w:p>
        </w:tc>
      </w:tr>
      <w:tr w:rsidR="00541696" w:rsidRPr="00A26020" w:rsidTr="006473D0">
        <w:trPr>
          <w:trHeight w:val="72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EF7A6C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</w:t>
            </w:r>
            <w:r w:rsidR="00EF7A6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EF7A6C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Факт 201</w:t>
            </w:r>
            <w:r w:rsidR="00EF7A6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EF7A6C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201</w:t>
            </w:r>
            <w:r w:rsidR="00EF7A6C">
              <w:rPr>
                <w:bCs/>
                <w:sz w:val="18"/>
                <w:szCs w:val="18"/>
              </w:rPr>
              <w:t>3</w:t>
            </w:r>
            <w:r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EF7A6C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Прогноз на 201</w:t>
            </w:r>
            <w:r w:rsidR="00EF7A6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Pr="00541696">
              <w:rPr>
                <w:bCs/>
                <w:sz w:val="18"/>
                <w:szCs w:val="18"/>
              </w:rPr>
              <w:t xml:space="preserve"> (гр.5-гр.4)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541696" w:rsidRPr="00A26020" w:rsidTr="006473D0">
        <w:trPr>
          <w:trHeight w:val="727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6" w:rsidRPr="00541696" w:rsidRDefault="0054169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EF7A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EF7A6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541696" w:rsidRDefault="00541696" w:rsidP="00EF7A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EF7A6C">
              <w:rPr>
                <w:bCs/>
                <w:sz w:val="18"/>
                <w:szCs w:val="18"/>
              </w:rPr>
              <w:t>6</w:t>
            </w:r>
          </w:p>
        </w:tc>
      </w:tr>
      <w:tr w:rsidR="00541696" w:rsidRPr="00A26020" w:rsidTr="00205B4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696" w:rsidRPr="00A26020" w:rsidRDefault="0054169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205B40" w:rsidRDefault="00541696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205B40" w:rsidRDefault="00541696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96" w:rsidRPr="00205B40" w:rsidRDefault="00541696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205B40" w:rsidRDefault="00205B40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696" w:rsidRPr="00205B40" w:rsidRDefault="00205B40" w:rsidP="00205B40">
            <w:pPr>
              <w:jc w:val="center"/>
              <w:rPr>
                <w:b/>
                <w:sz w:val="18"/>
                <w:szCs w:val="18"/>
              </w:rPr>
            </w:pPr>
            <w:r w:rsidRPr="00205B40">
              <w:rPr>
                <w:b/>
                <w:sz w:val="18"/>
                <w:szCs w:val="18"/>
              </w:rPr>
              <w:t>8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EF7A6C" w:rsidRPr="00A26020" w:rsidRDefault="00EF7A6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F7A6C" w:rsidRPr="00A26020" w:rsidRDefault="0011410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281734,2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-202351,1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294858,9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314222,0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7A6C" w:rsidRPr="00A26020" w:rsidRDefault="00EF7A6C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21008,1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A26020" w:rsidRDefault="00826EF4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A26020" w:rsidRDefault="00826EF4" w:rsidP="00571B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2230</w:t>
            </w:r>
            <w:r w:rsidR="00571B4E"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b/>
                <w:bCs/>
                <w:i/>
                <w:iCs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6473D0" w:rsidRDefault="006144EF" w:rsidP="00571B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</w:t>
            </w:r>
            <w:r w:rsidR="00571B4E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7A6C" w:rsidRPr="00DD7F99" w:rsidRDefault="00826EF4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23955,7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7A6C" w:rsidRPr="00DD7F99" w:rsidRDefault="00826EF4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25613,3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6C" w:rsidRPr="00A26020" w:rsidRDefault="00EF7A6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11410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20483,2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22121,8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72F1D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2949,5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11410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541,0</w:t>
            </w:r>
          </w:p>
        </w:tc>
      </w:tr>
      <w:tr w:rsidR="00EF7A6C" w:rsidRPr="00A26020" w:rsidTr="006473D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7A6C" w:rsidRPr="00A26020" w:rsidRDefault="00EF7A6C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DD7F99" w:rsidRDefault="00EF7A6C" w:rsidP="00B40E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DD7F99" w:rsidRDefault="00571B4E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DD7F99" w:rsidRDefault="0005544F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DD7F99" w:rsidRDefault="0005544F" w:rsidP="00DD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F7A6C" w:rsidRPr="00DD7F99" w:rsidRDefault="0005544F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-192,9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7A6C" w:rsidRPr="00DD7F99" w:rsidRDefault="0005544F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2127,1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7A6C" w:rsidRPr="00DD7F99" w:rsidRDefault="0005544F" w:rsidP="00DD7F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2179,1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A0195E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6020">
              <w:rPr>
                <w:b/>
                <w:bCs/>
                <w:sz w:val="18"/>
                <w:szCs w:val="18"/>
              </w:rPr>
              <w:t>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114103" w:rsidP="009E4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935,</w:t>
            </w:r>
            <w:r w:rsidR="006144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05544F" w:rsidRDefault="006144EF" w:rsidP="00DD7F99">
            <w:pPr>
              <w:jc w:val="center"/>
              <w:rPr>
                <w:b/>
                <w:sz w:val="18"/>
                <w:szCs w:val="18"/>
              </w:rPr>
            </w:pPr>
            <w:r w:rsidRPr="0005544F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DD7F99" w:rsidRDefault="00205B40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DD7F99" w:rsidRDefault="00205B40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209,5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A01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</w:t>
            </w:r>
            <w:r w:rsidR="00571B4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05544F" w:rsidRDefault="006144EF" w:rsidP="00DD7F99">
            <w:pPr>
              <w:jc w:val="center"/>
              <w:rPr>
                <w:b/>
                <w:sz w:val="18"/>
                <w:szCs w:val="18"/>
              </w:rPr>
            </w:pPr>
            <w:r w:rsidRPr="0005544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DD7F99" w:rsidRDefault="00205B40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DD7F99" w:rsidRDefault="00205B40" w:rsidP="00DD7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45,7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114103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-296,0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31,8</w:t>
            </w:r>
          </w:p>
        </w:tc>
      </w:tr>
      <w:tr w:rsidR="00EF7A6C" w:rsidRPr="00A26020" w:rsidTr="006473D0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418,8</w:t>
            </w:r>
          </w:p>
        </w:tc>
      </w:tr>
      <w:tr w:rsidR="00EF7A6C" w:rsidRPr="00A26020" w:rsidTr="006473D0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6C" w:rsidRPr="00A26020" w:rsidRDefault="00EF7A6C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>доходы от реализации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EF7A6C" w:rsidP="00B40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205B4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6C" w:rsidRPr="00A26020" w:rsidRDefault="006144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A26020" w:rsidRDefault="00205B4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6C" w:rsidRPr="00A26020" w:rsidRDefault="00205B4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05B40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0" w:rsidRPr="00A26020" w:rsidRDefault="00205B40" w:rsidP="006C0E6B">
            <w:pPr>
              <w:rPr>
                <w:sz w:val="18"/>
                <w:szCs w:val="18"/>
              </w:rPr>
            </w:pPr>
            <w:r w:rsidRPr="00A26020"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 w:rsidRPr="00A26020">
              <w:rPr>
                <w:sz w:val="18"/>
                <w:szCs w:val="18"/>
              </w:rPr>
              <w:t>зем</w:t>
            </w:r>
            <w:proofErr w:type="gramStart"/>
            <w:r w:rsidRPr="00A26020">
              <w:rPr>
                <w:sz w:val="18"/>
                <w:szCs w:val="18"/>
              </w:rPr>
              <w:t>.у</w:t>
            </w:r>
            <w:proofErr w:type="gramEnd"/>
            <w:r w:rsidRPr="00A26020">
              <w:rPr>
                <w:sz w:val="18"/>
                <w:szCs w:val="18"/>
              </w:rPr>
              <w:t>частков</w:t>
            </w:r>
            <w:proofErr w:type="spellEnd"/>
            <w:r w:rsidRPr="00A260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B40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6144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6144EF" w:rsidP="00DD7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40" w:rsidRPr="00205B40" w:rsidRDefault="00205B40" w:rsidP="009B09AA">
            <w:pPr>
              <w:jc w:val="center"/>
              <w:rPr>
                <w:bCs/>
                <w:sz w:val="18"/>
                <w:szCs w:val="18"/>
              </w:rPr>
            </w:pPr>
            <w:r w:rsidRPr="00205B40">
              <w:rPr>
                <w:bCs/>
                <w:sz w:val="18"/>
                <w:szCs w:val="18"/>
              </w:rPr>
              <w:t>406,6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40" w:rsidRPr="00205B40" w:rsidRDefault="00205B40" w:rsidP="009B09AA">
            <w:pPr>
              <w:jc w:val="center"/>
              <w:rPr>
                <w:bCs/>
                <w:sz w:val="18"/>
                <w:szCs w:val="18"/>
              </w:rPr>
            </w:pPr>
            <w:r w:rsidRPr="00205B40">
              <w:rPr>
                <w:bCs/>
                <w:sz w:val="18"/>
                <w:szCs w:val="18"/>
              </w:rPr>
              <w:t>418,8</w:t>
            </w:r>
          </w:p>
        </w:tc>
      </w:tr>
      <w:tr w:rsidR="00205B40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0" w:rsidRPr="00A26020" w:rsidRDefault="00205B40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0" w:rsidRPr="00A26020" w:rsidRDefault="00205B40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4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1252,4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4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1277,7</w:t>
            </w:r>
          </w:p>
        </w:tc>
      </w:tr>
      <w:tr w:rsidR="00205B40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0" w:rsidRPr="00A26020" w:rsidRDefault="00205B40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40" w:rsidRPr="00A26020" w:rsidRDefault="00205B40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B40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4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191,8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40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195,6</w:t>
            </w:r>
          </w:p>
        </w:tc>
      </w:tr>
      <w:tr w:rsidR="00205B40" w:rsidRPr="00A26020" w:rsidTr="006473D0">
        <w:trPr>
          <w:trHeight w:val="2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5B40" w:rsidRPr="004E3687" w:rsidRDefault="00205B40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5B40" w:rsidRPr="004E3687" w:rsidRDefault="00205B40" w:rsidP="00B40E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288542,2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5B40" w:rsidRPr="004E3687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343623,0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5B40" w:rsidRPr="004E3687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5B40" w:rsidRPr="004E3687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257341,2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05B40" w:rsidRPr="00A26020" w:rsidRDefault="006144EF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-202522,5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5B40" w:rsidRPr="004E3687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268776,1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5B40" w:rsidRPr="004E3687" w:rsidRDefault="00205B40" w:rsidP="00DD7F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286429,6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2235B8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 составляет </w:t>
      </w:r>
      <w:r w:rsidR="002235B8">
        <w:rPr>
          <w:sz w:val="28"/>
          <w:szCs w:val="28"/>
        </w:rPr>
        <w:t>18965,9</w:t>
      </w:r>
      <w:r w:rsidR="00002C4F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</w:t>
      </w:r>
      <w:proofErr w:type="gramStart"/>
      <w:r w:rsidR="003B53D9">
        <w:rPr>
          <w:sz w:val="28"/>
          <w:szCs w:val="28"/>
        </w:rPr>
        <w:t>.р</w:t>
      </w:r>
      <w:proofErr w:type="gramEnd"/>
      <w:r w:rsidR="003B53D9">
        <w:rPr>
          <w:sz w:val="28"/>
          <w:szCs w:val="28"/>
        </w:rPr>
        <w:t xml:space="preserve">уб., что на </w:t>
      </w:r>
      <w:r w:rsidR="00811C23">
        <w:rPr>
          <w:sz w:val="28"/>
          <w:szCs w:val="28"/>
        </w:rPr>
        <w:t>840,3</w:t>
      </w:r>
      <w:r w:rsidR="00B15EF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тыс.руб. или на </w:t>
      </w:r>
      <w:r w:rsidR="00811C23">
        <w:rPr>
          <w:sz w:val="28"/>
          <w:szCs w:val="28"/>
        </w:rPr>
        <w:t>4</w:t>
      </w:r>
      <w:r w:rsidR="00B15EFA">
        <w:rPr>
          <w:sz w:val="28"/>
          <w:szCs w:val="28"/>
        </w:rPr>
        <w:t>,6</w:t>
      </w:r>
      <w:r w:rsidR="003B53D9">
        <w:rPr>
          <w:sz w:val="28"/>
          <w:szCs w:val="28"/>
        </w:rPr>
        <w:t>% больше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811C23">
        <w:rPr>
          <w:sz w:val="28"/>
          <w:szCs w:val="28"/>
        </w:rPr>
        <w:t>5</w:t>
      </w:r>
      <w:r w:rsidR="00482815">
        <w:rPr>
          <w:sz w:val="28"/>
          <w:szCs w:val="28"/>
        </w:rPr>
        <w:t>-201</w:t>
      </w:r>
      <w:r w:rsidR="00811C23">
        <w:rPr>
          <w:sz w:val="28"/>
          <w:szCs w:val="28"/>
        </w:rPr>
        <w:t>6</w:t>
      </w:r>
      <w:r w:rsidR="00482815">
        <w:rPr>
          <w:sz w:val="28"/>
          <w:szCs w:val="28"/>
        </w:rPr>
        <w:t>гг.</w:t>
      </w:r>
      <w:r w:rsidR="00811C23">
        <w:rPr>
          <w:sz w:val="28"/>
          <w:szCs w:val="28"/>
        </w:rPr>
        <w:t xml:space="preserve"> также </w:t>
      </w:r>
      <w:r w:rsidR="00482815">
        <w:rPr>
          <w:sz w:val="28"/>
          <w:szCs w:val="28"/>
        </w:rPr>
        <w:t>прогнозируется увеличение поступлений по данной статье доходов</w:t>
      </w:r>
      <w:r w:rsidR="00811C23">
        <w:rPr>
          <w:sz w:val="28"/>
          <w:szCs w:val="28"/>
        </w:rPr>
        <w:t xml:space="preserve"> на 3996,2 тыс</w:t>
      </w:r>
      <w:proofErr w:type="gramStart"/>
      <w:r w:rsidR="00811C23">
        <w:rPr>
          <w:sz w:val="28"/>
          <w:szCs w:val="28"/>
        </w:rPr>
        <w:t>.р</w:t>
      </w:r>
      <w:proofErr w:type="gramEnd"/>
      <w:r w:rsidR="00811C23">
        <w:rPr>
          <w:sz w:val="28"/>
          <w:szCs w:val="28"/>
        </w:rPr>
        <w:t>уб. в 2016 году по сравнению с текущим годом.</w:t>
      </w:r>
    </w:p>
    <w:p w:rsidR="006F06E6" w:rsidRPr="00E34002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E34002">
        <w:rPr>
          <w:b/>
          <w:i/>
          <w:sz w:val="28"/>
          <w:szCs w:val="28"/>
        </w:rPr>
        <w:t>Налоги на совокупный доход.</w:t>
      </w:r>
      <w:r w:rsidRPr="00E34002">
        <w:rPr>
          <w:sz w:val="28"/>
          <w:szCs w:val="28"/>
        </w:rPr>
        <w:t xml:space="preserve"> Прогноз поступлений  налога на совокупный доход на 201</w:t>
      </w:r>
      <w:r w:rsidR="00036CCE" w:rsidRPr="00E34002">
        <w:rPr>
          <w:sz w:val="28"/>
          <w:szCs w:val="28"/>
        </w:rPr>
        <w:t>4</w:t>
      </w:r>
      <w:r w:rsidRPr="00E34002">
        <w:rPr>
          <w:sz w:val="28"/>
          <w:szCs w:val="28"/>
        </w:rPr>
        <w:t xml:space="preserve"> год составляет </w:t>
      </w:r>
      <w:r w:rsidR="007F247A" w:rsidRPr="00E34002">
        <w:rPr>
          <w:sz w:val="28"/>
          <w:szCs w:val="28"/>
        </w:rPr>
        <w:t xml:space="preserve">2829,2 </w:t>
      </w:r>
      <w:r w:rsidRPr="00E34002">
        <w:rPr>
          <w:sz w:val="28"/>
          <w:szCs w:val="28"/>
        </w:rPr>
        <w:t>тыс</w:t>
      </w:r>
      <w:proofErr w:type="gramStart"/>
      <w:r w:rsidRPr="00E34002">
        <w:rPr>
          <w:sz w:val="28"/>
          <w:szCs w:val="28"/>
        </w:rPr>
        <w:t>.р</w:t>
      </w:r>
      <w:proofErr w:type="gramEnd"/>
      <w:r w:rsidRPr="00E34002">
        <w:rPr>
          <w:sz w:val="28"/>
          <w:szCs w:val="28"/>
        </w:rPr>
        <w:t xml:space="preserve">уб., что на </w:t>
      </w:r>
      <w:r w:rsidR="007F247A" w:rsidRPr="00E34002">
        <w:rPr>
          <w:sz w:val="28"/>
          <w:szCs w:val="28"/>
        </w:rPr>
        <w:t>470,6</w:t>
      </w:r>
      <w:r w:rsidRPr="00E34002">
        <w:rPr>
          <w:sz w:val="28"/>
          <w:szCs w:val="28"/>
        </w:rPr>
        <w:t xml:space="preserve"> тыс.руб. или на 1</w:t>
      </w:r>
      <w:r w:rsidR="007F247A" w:rsidRPr="00E34002">
        <w:rPr>
          <w:sz w:val="28"/>
          <w:szCs w:val="28"/>
        </w:rPr>
        <w:t>4</w:t>
      </w:r>
      <w:r w:rsidRPr="00E34002">
        <w:rPr>
          <w:sz w:val="28"/>
          <w:szCs w:val="28"/>
        </w:rPr>
        <w:t>,3% меньше ожидаемого поступления текущего года такое снижение не увязывается с прогнозом социально-экономического развития района, где прогнозируется повышение показателей в 201</w:t>
      </w:r>
      <w:r w:rsidR="008822D1" w:rsidRPr="00E34002">
        <w:rPr>
          <w:sz w:val="28"/>
          <w:szCs w:val="28"/>
        </w:rPr>
        <w:t>4</w:t>
      </w:r>
      <w:r w:rsidRPr="00E34002">
        <w:rPr>
          <w:sz w:val="28"/>
          <w:szCs w:val="28"/>
        </w:rPr>
        <w:t xml:space="preserve"> году</w:t>
      </w:r>
      <w:r w:rsidR="005F5EAD">
        <w:rPr>
          <w:sz w:val="28"/>
          <w:szCs w:val="28"/>
        </w:rPr>
        <w:t xml:space="preserve"> (ст.169 Бюджетного кодекса РФ)</w:t>
      </w:r>
      <w:r w:rsidR="007F247A" w:rsidRPr="00E34002">
        <w:rPr>
          <w:sz w:val="28"/>
          <w:szCs w:val="28"/>
        </w:rPr>
        <w:t xml:space="preserve">, на текущий год прогноз поступлений по данной статье доходов также был ниже </w:t>
      </w:r>
      <w:r w:rsidR="00E34002" w:rsidRPr="00E34002">
        <w:rPr>
          <w:sz w:val="28"/>
          <w:szCs w:val="28"/>
        </w:rPr>
        <w:t>на 470,6 тыс</w:t>
      </w:r>
      <w:proofErr w:type="gramStart"/>
      <w:r w:rsidR="00E34002" w:rsidRPr="00E34002">
        <w:rPr>
          <w:sz w:val="28"/>
          <w:szCs w:val="28"/>
        </w:rPr>
        <w:t>.р</w:t>
      </w:r>
      <w:proofErr w:type="gramEnd"/>
      <w:r w:rsidR="00E34002" w:rsidRPr="00E34002">
        <w:rPr>
          <w:sz w:val="28"/>
          <w:szCs w:val="28"/>
        </w:rPr>
        <w:t>уб., чем ожидаемое поступление на данный момент.</w:t>
      </w:r>
      <w:r w:rsidRPr="00E34002">
        <w:rPr>
          <w:sz w:val="28"/>
          <w:szCs w:val="28"/>
        </w:rPr>
        <w:t xml:space="preserve"> На плановый период 201</w:t>
      </w:r>
      <w:r w:rsidR="008822D1" w:rsidRPr="00E34002">
        <w:rPr>
          <w:sz w:val="28"/>
          <w:szCs w:val="28"/>
        </w:rPr>
        <w:t>5</w:t>
      </w:r>
      <w:r w:rsidRPr="00E34002">
        <w:rPr>
          <w:sz w:val="28"/>
          <w:szCs w:val="28"/>
        </w:rPr>
        <w:t>-201</w:t>
      </w:r>
      <w:r w:rsidR="008822D1" w:rsidRPr="00E34002">
        <w:rPr>
          <w:sz w:val="28"/>
          <w:szCs w:val="28"/>
        </w:rPr>
        <w:t>6</w:t>
      </w:r>
      <w:r w:rsidRPr="00E34002">
        <w:rPr>
          <w:sz w:val="28"/>
          <w:szCs w:val="28"/>
        </w:rPr>
        <w:t>гг. прогнозируется увеличение поступлений по данной статье доходов.</w:t>
      </w:r>
    </w:p>
    <w:p w:rsidR="00D4788A" w:rsidRDefault="00D4788A" w:rsidP="00D4788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D4788A">
        <w:rPr>
          <w:b/>
          <w:i/>
          <w:sz w:val="28"/>
          <w:szCs w:val="28"/>
        </w:rPr>
        <w:t>Государственная пошлина.</w:t>
      </w:r>
      <w:r w:rsidRPr="00D4788A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государственной пошлины  на 201</w:t>
      </w:r>
      <w:r w:rsidR="00164800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составляет </w:t>
      </w:r>
      <w:r w:rsidR="00164800">
        <w:rPr>
          <w:sz w:val="28"/>
          <w:szCs w:val="28"/>
        </w:rPr>
        <w:t xml:space="preserve">510,0 </w:t>
      </w:r>
      <w:r w:rsidR="00002C4F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на </w:t>
      </w:r>
      <w:r w:rsidR="00164800">
        <w:rPr>
          <w:sz w:val="28"/>
          <w:szCs w:val="28"/>
        </w:rPr>
        <w:t>6,4</w:t>
      </w:r>
      <w:r>
        <w:rPr>
          <w:sz w:val="28"/>
          <w:szCs w:val="28"/>
        </w:rPr>
        <w:t xml:space="preserve"> тыс.руб. или на 1,</w:t>
      </w:r>
      <w:r w:rsidR="00164800">
        <w:rPr>
          <w:sz w:val="28"/>
          <w:szCs w:val="28"/>
        </w:rPr>
        <w:t>2</w:t>
      </w:r>
      <w:r>
        <w:rPr>
          <w:sz w:val="28"/>
          <w:szCs w:val="28"/>
        </w:rPr>
        <w:t>% меньше ожидаемого поступления текущего года. На плановый период 201</w:t>
      </w:r>
      <w:r w:rsidR="00164800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64800">
        <w:rPr>
          <w:sz w:val="28"/>
          <w:szCs w:val="28"/>
        </w:rPr>
        <w:t>6</w:t>
      </w:r>
      <w:r>
        <w:rPr>
          <w:sz w:val="28"/>
          <w:szCs w:val="28"/>
        </w:rPr>
        <w:t>гг. прогнозируется увеличение поступлений государственной пошлины.</w:t>
      </w:r>
    </w:p>
    <w:p w:rsidR="00002C4F" w:rsidRDefault="00002C4F" w:rsidP="00D4788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</w:p>
    <w:p w:rsidR="003B53D9" w:rsidRDefault="00D4788A" w:rsidP="00CC146F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по группе налоговых доходов</w:t>
      </w:r>
      <w:r w:rsidR="00FA5979">
        <w:rPr>
          <w:sz w:val="28"/>
          <w:szCs w:val="28"/>
        </w:rPr>
        <w:t xml:space="preserve"> на 201</w:t>
      </w:r>
      <w:r w:rsidR="00164800">
        <w:rPr>
          <w:sz w:val="28"/>
          <w:szCs w:val="28"/>
        </w:rPr>
        <w:t>4</w:t>
      </w:r>
      <w:r w:rsidR="00FA5979">
        <w:rPr>
          <w:sz w:val="28"/>
          <w:szCs w:val="28"/>
        </w:rPr>
        <w:t xml:space="preserve"> год прогнозируется </w:t>
      </w:r>
      <w:r w:rsidR="00164800">
        <w:rPr>
          <w:sz w:val="28"/>
          <w:szCs w:val="28"/>
        </w:rPr>
        <w:t>повышение</w:t>
      </w:r>
      <w:r w:rsidR="00FA5979">
        <w:rPr>
          <w:sz w:val="28"/>
          <w:szCs w:val="28"/>
        </w:rPr>
        <w:t xml:space="preserve"> поступлений на </w:t>
      </w:r>
      <w:r w:rsidR="00164800">
        <w:rPr>
          <w:sz w:val="28"/>
          <w:szCs w:val="28"/>
        </w:rPr>
        <w:t>364,3</w:t>
      </w:r>
      <w:r w:rsidR="00FA5979">
        <w:rPr>
          <w:sz w:val="28"/>
          <w:szCs w:val="28"/>
        </w:rPr>
        <w:t xml:space="preserve"> тыс</w:t>
      </w:r>
      <w:proofErr w:type="gramStart"/>
      <w:r w:rsidR="00FA5979">
        <w:rPr>
          <w:sz w:val="28"/>
          <w:szCs w:val="28"/>
        </w:rPr>
        <w:t>.р</w:t>
      </w:r>
      <w:proofErr w:type="gramEnd"/>
      <w:r w:rsidR="00FA5979">
        <w:rPr>
          <w:sz w:val="28"/>
          <w:szCs w:val="28"/>
        </w:rPr>
        <w:t xml:space="preserve">уб. или на </w:t>
      </w:r>
      <w:r w:rsidR="00164800">
        <w:rPr>
          <w:sz w:val="28"/>
          <w:szCs w:val="28"/>
        </w:rPr>
        <w:t>1,7</w:t>
      </w:r>
      <w:r w:rsidR="00FA5979">
        <w:rPr>
          <w:sz w:val="28"/>
          <w:szCs w:val="28"/>
        </w:rPr>
        <w:t xml:space="preserve">% </w:t>
      </w:r>
      <w:r w:rsidR="00164800">
        <w:rPr>
          <w:sz w:val="28"/>
          <w:szCs w:val="28"/>
        </w:rPr>
        <w:t>больше</w:t>
      </w:r>
      <w:r w:rsidR="00FA5979">
        <w:rPr>
          <w:sz w:val="28"/>
          <w:szCs w:val="28"/>
        </w:rPr>
        <w:t xml:space="preserve"> ожидаемого исполнения текущего года. На плановый период 201</w:t>
      </w:r>
      <w:r w:rsidR="00164800">
        <w:rPr>
          <w:sz w:val="28"/>
          <w:szCs w:val="28"/>
        </w:rPr>
        <w:t>5</w:t>
      </w:r>
      <w:r w:rsidR="00FA5979">
        <w:rPr>
          <w:sz w:val="28"/>
          <w:szCs w:val="28"/>
        </w:rPr>
        <w:t>-201</w:t>
      </w:r>
      <w:r w:rsidR="00164800">
        <w:rPr>
          <w:sz w:val="28"/>
          <w:szCs w:val="28"/>
        </w:rPr>
        <w:t>6</w:t>
      </w:r>
      <w:r w:rsidR="00FA5979">
        <w:rPr>
          <w:sz w:val="28"/>
          <w:szCs w:val="28"/>
        </w:rPr>
        <w:t xml:space="preserve"> годов прогнозируется увеличение поступлений налоговых доходов</w:t>
      </w:r>
      <w:r w:rsidR="00164800">
        <w:rPr>
          <w:sz w:val="28"/>
          <w:szCs w:val="28"/>
        </w:rPr>
        <w:t xml:space="preserve"> до 25613,3 тыс</w:t>
      </w:r>
      <w:proofErr w:type="gramStart"/>
      <w:r w:rsidR="00164800">
        <w:rPr>
          <w:sz w:val="28"/>
          <w:szCs w:val="28"/>
        </w:rPr>
        <w:t>.р</w:t>
      </w:r>
      <w:proofErr w:type="gramEnd"/>
      <w:r w:rsidR="00164800">
        <w:rPr>
          <w:sz w:val="28"/>
          <w:szCs w:val="28"/>
        </w:rPr>
        <w:t>уб. в 2016 году, что на 3671,5 тыс</w:t>
      </w:r>
      <w:r w:rsidR="00FA5979">
        <w:rPr>
          <w:sz w:val="28"/>
          <w:szCs w:val="28"/>
        </w:rPr>
        <w:t>.</w:t>
      </w:r>
      <w:r w:rsidR="00164800">
        <w:rPr>
          <w:sz w:val="28"/>
          <w:szCs w:val="28"/>
        </w:rPr>
        <w:t>руб. или 11,5% больше ожидаемого поступления налоговых доходов в текущем году.</w:t>
      </w:r>
    </w:p>
    <w:p w:rsidR="006F06E6" w:rsidRDefault="00841F72" w:rsidP="006F06E6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841F72">
        <w:rPr>
          <w:b/>
          <w:i/>
          <w:sz w:val="28"/>
          <w:szCs w:val="28"/>
        </w:rPr>
        <w:t>Доходы от использования имущества</w:t>
      </w:r>
      <w:r>
        <w:rPr>
          <w:b/>
          <w:i/>
          <w:sz w:val="28"/>
          <w:szCs w:val="28"/>
        </w:rPr>
        <w:t>.</w:t>
      </w:r>
      <w:r w:rsidRPr="00841F72">
        <w:rPr>
          <w:i/>
          <w:sz w:val="28"/>
          <w:szCs w:val="28"/>
        </w:rPr>
        <w:t xml:space="preserve"> </w:t>
      </w:r>
      <w:r w:rsidR="006F06E6" w:rsidRPr="00A213A1">
        <w:rPr>
          <w:sz w:val="28"/>
          <w:szCs w:val="28"/>
        </w:rPr>
        <w:t>Прогноз доходов от использования имущества на 201</w:t>
      </w:r>
      <w:r w:rsidR="000D0C05">
        <w:rPr>
          <w:sz w:val="28"/>
          <w:szCs w:val="28"/>
        </w:rPr>
        <w:t>4</w:t>
      </w:r>
      <w:r w:rsidR="006F06E6" w:rsidRPr="00A213A1">
        <w:rPr>
          <w:sz w:val="28"/>
          <w:szCs w:val="28"/>
        </w:rPr>
        <w:t xml:space="preserve"> год составил в общей сумме </w:t>
      </w:r>
      <w:r w:rsidR="000D0C05">
        <w:rPr>
          <w:sz w:val="28"/>
          <w:szCs w:val="28"/>
        </w:rPr>
        <w:t>197,4</w:t>
      </w:r>
      <w:r w:rsidR="006F06E6" w:rsidRPr="00A213A1">
        <w:rPr>
          <w:sz w:val="28"/>
          <w:szCs w:val="28"/>
        </w:rPr>
        <w:t xml:space="preserve"> тыс</w:t>
      </w:r>
      <w:proofErr w:type="gramStart"/>
      <w:r w:rsidR="006F06E6" w:rsidRPr="00A213A1">
        <w:rPr>
          <w:sz w:val="28"/>
          <w:szCs w:val="28"/>
        </w:rPr>
        <w:t>.р</w:t>
      </w:r>
      <w:proofErr w:type="gramEnd"/>
      <w:r w:rsidR="006F06E6" w:rsidRPr="00A213A1">
        <w:rPr>
          <w:sz w:val="28"/>
          <w:szCs w:val="28"/>
        </w:rPr>
        <w:t>уб.</w:t>
      </w:r>
      <w:r w:rsidR="006F06E6">
        <w:rPr>
          <w:sz w:val="28"/>
          <w:szCs w:val="28"/>
        </w:rPr>
        <w:t xml:space="preserve">, что на </w:t>
      </w:r>
      <w:r w:rsidR="000D0C05">
        <w:rPr>
          <w:sz w:val="28"/>
          <w:szCs w:val="28"/>
        </w:rPr>
        <w:t>2,1</w:t>
      </w:r>
      <w:r w:rsidR="006F06E6" w:rsidRPr="00A213A1">
        <w:rPr>
          <w:sz w:val="28"/>
          <w:szCs w:val="28"/>
        </w:rPr>
        <w:t xml:space="preserve"> </w:t>
      </w:r>
      <w:r w:rsidR="000D0C05">
        <w:rPr>
          <w:sz w:val="28"/>
          <w:szCs w:val="28"/>
        </w:rPr>
        <w:t>тыс.руб. больше</w:t>
      </w:r>
      <w:r w:rsidR="006F06E6">
        <w:rPr>
          <w:sz w:val="28"/>
          <w:szCs w:val="28"/>
        </w:rPr>
        <w:t xml:space="preserve"> ожидаемого исполнения 201</w:t>
      </w:r>
      <w:r w:rsidR="000D0C05">
        <w:rPr>
          <w:sz w:val="28"/>
          <w:szCs w:val="28"/>
        </w:rPr>
        <w:t>3</w:t>
      </w:r>
      <w:r w:rsidR="006F06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 дальнейшем</w:t>
      </w:r>
      <w:r w:rsidR="00B8753B">
        <w:rPr>
          <w:sz w:val="28"/>
          <w:szCs w:val="28"/>
        </w:rPr>
        <w:t xml:space="preserve"> на плановый период также ожидается </w:t>
      </w:r>
      <w:r w:rsidR="000D0C05">
        <w:rPr>
          <w:sz w:val="28"/>
          <w:szCs w:val="28"/>
        </w:rPr>
        <w:t>повышение</w:t>
      </w:r>
      <w:r w:rsidR="00B8753B">
        <w:rPr>
          <w:sz w:val="28"/>
          <w:szCs w:val="28"/>
        </w:rPr>
        <w:t xml:space="preserve"> поступлений по данной статье расходов: на 201</w:t>
      </w:r>
      <w:r w:rsidR="000D0C05">
        <w:rPr>
          <w:sz w:val="28"/>
          <w:szCs w:val="28"/>
        </w:rPr>
        <w:t>5</w:t>
      </w:r>
      <w:r w:rsidR="00B8753B">
        <w:rPr>
          <w:sz w:val="28"/>
          <w:szCs w:val="28"/>
        </w:rPr>
        <w:t xml:space="preserve"> год – </w:t>
      </w:r>
      <w:r w:rsidR="000D0C05">
        <w:rPr>
          <w:sz w:val="28"/>
          <w:szCs w:val="28"/>
        </w:rPr>
        <w:t>203,4</w:t>
      </w:r>
      <w:r w:rsidR="00B8753B">
        <w:rPr>
          <w:sz w:val="28"/>
          <w:szCs w:val="28"/>
        </w:rPr>
        <w:t xml:space="preserve"> тыс</w:t>
      </w:r>
      <w:proofErr w:type="gramStart"/>
      <w:r w:rsidR="00B8753B">
        <w:rPr>
          <w:sz w:val="28"/>
          <w:szCs w:val="28"/>
        </w:rPr>
        <w:t>.р</w:t>
      </w:r>
      <w:proofErr w:type="gramEnd"/>
      <w:r w:rsidR="00B8753B">
        <w:rPr>
          <w:sz w:val="28"/>
          <w:szCs w:val="28"/>
        </w:rPr>
        <w:t>уб., на 201</w:t>
      </w:r>
      <w:r w:rsidR="000D0C05">
        <w:rPr>
          <w:sz w:val="28"/>
          <w:szCs w:val="28"/>
        </w:rPr>
        <w:t>6</w:t>
      </w:r>
      <w:r w:rsidR="00B8753B">
        <w:rPr>
          <w:sz w:val="28"/>
          <w:szCs w:val="28"/>
        </w:rPr>
        <w:t xml:space="preserve"> год – </w:t>
      </w:r>
      <w:r w:rsidR="000D0C05">
        <w:rPr>
          <w:sz w:val="28"/>
          <w:szCs w:val="28"/>
        </w:rPr>
        <w:t>209,5</w:t>
      </w:r>
      <w:r w:rsidR="00B8753B">
        <w:rPr>
          <w:sz w:val="28"/>
          <w:szCs w:val="28"/>
        </w:rPr>
        <w:t xml:space="preserve"> тыс.руб.</w:t>
      </w:r>
      <w:r w:rsidR="000D0C05">
        <w:rPr>
          <w:sz w:val="28"/>
          <w:szCs w:val="28"/>
        </w:rPr>
        <w:t xml:space="preserve"> Необходимо отметить, что за период с 2011-2013гг. наблюдается резкое снижение поступлений по данной статье доходов с 1218,0 руб. в 2011 году до 195,3 тыс.руб. в текущем году (на 1022,7 тыс.руб.</w:t>
      </w:r>
      <w:r w:rsidR="00414AA6">
        <w:rPr>
          <w:sz w:val="28"/>
          <w:szCs w:val="28"/>
        </w:rPr>
        <w:t xml:space="preserve"> или на 83,96%</w:t>
      </w:r>
      <w:r w:rsidR="000D0C05">
        <w:rPr>
          <w:sz w:val="28"/>
          <w:szCs w:val="28"/>
        </w:rPr>
        <w:t>).</w:t>
      </w:r>
      <w:r w:rsidR="00B8753B">
        <w:rPr>
          <w:sz w:val="28"/>
          <w:szCs w:val="28"/>
        </w:rPr>
        <w:t xml:space="preserve"> </w:t>
      </w:r>
    </w:p>
    <w:p w:rsidR="00F35E44" w:rsidRDefault="00F35E44" w:rsidP="00F35E4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F35E44">
        <w:rPr>
          <w:b/>
          <w:i/>
          <w:sz w:val="28"/>
          <w:szCs w:val="28"/>
        </w:rPr>
        <w:t>Платежи при пользовании природными ресурсами.</w:t>
      </w:r>
      <w:r>
        <w:rPr>
          <w:sz w:val="28"/>
          <w:szCs w:val="28"/>
        </w:rPr>
        <w:t xml:space="preserve"> Прогноз поступлений  данных платежей  на 201</w:t>
      </w:r>
      <w:r w:rsidR="00B133B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составляет </w:t>
      </w:r>
      <w:r w:rsidR="00B133B4">
        <w:rPr>
          <w:sz w:val="28"/>
          <w:szCs w:val="28"/>
        </w:rPr>
        <w:t>40,4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на 20,</w:t>
      </w:r>
      <w:r w:rsidR="00B133B4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 или </w:t>
      </w:r>
      <w:r w:rsidR="00B133B4">
        <w:rPr>
          <w:sz w:val="28"/>
          <w:szCs w:val="28"/>
        </w:rPr>
        <w:t xml:space="preserve">почти </w:t>
      </w:r>
      <w:r>
        <w:rPr>
          <w:sz w:val="28"/>
          <w:szCs w:val="28"/>
        </w:rPr>
        <w:t>в 2 раз</w:t>
      </w:r>
      <w:r w:rsidR="00B133B4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 ожидаемого поступления текущего года. На плановый период 2014-2015гг. также прогнозируется увеличение поступлений данного вида доходов.</w:t>
      </w:r>
    </w:p>
    <w:p w:rsidR="006F06E6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E609CE">
        <w:rPr>
          <w:b/>
          <w:i/>
          <w:sz w:val="28"/>
          <w:szCs w:val="28"/>
        </w:rPr>
        <w:t>Доходы от оказания платных услуг</w:t>
      </w:r>
      <w:r>
        <w:rPr>
          <w:b/>
          <w:i/>
          <w:sz w:val="28"/>
          <w:szCs w:val="28"/>
        </w:rPr>
        <w:t xml:space="preserve"> </w:t>
      </w:r>
      <w:r w:rsidRPr="00E609CE">
        <w:rPr>
          <w:b/>
          <w:i/>
          <w:sz w:val="28"/>
          <w:szCs w:val="28"/>
        </w:rPr>
        <w:t>и компенсации затрат государства</w:t>
      </w:r>
      <w:r>
        <w:rPr>
          <w:b/>
          <w:i/>
          <w:sz w:val="28"/>
          <w:szCs w:val="28"/>
        </w:rPr>
        <w:t>.</w:t>
      </w:r>
      <w:r w:rsidR="006F06E6" w:rsidRPr="00AF1C3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</w:t>
      </w:r>
      <w:r w:rsidR="006F06E6" w:rsidRPr="00AF1C36">
        <w:rPr>
          <w:snapToGrid w:val="0"/>
          <w:sz w:val="28"/>
          <w:szCs w:val="28"/>
        </w:rPr>
        <w:t xml:space="preserve"> </w:t>
      </w:r>
      <w:r w:rsidR="008270F0">
        <w:rPr>
          <w:snapToGrid w:val="0"/>
          <w:sz w:val="28"/>
          <w:szCs w:val="28"/>
        </w:rPr>
        <w:t>первоначальном бюджете текущего года</w:t>
      </w:r>
      <w:r>
        <w:rPr>
          <w:snapToGrid w:val="0"/>
          <w:sz w:val="28"/>
          <w:szCs w:val="28"/>
        </w:rPr>
        <w:t xml:space="preserve"> и плановом периоде 201</w:t>
      </w:r>
      <w:r w:rsidR="008270F0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-201</w:t>
      </w:r>
      <w:r w:rsidR="008270F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годов поступления </w:t>
      </w:r>
      <w:r w:rsidR="008270F0">
        <w:rPr>
          <w:snapToGrid w:val="0"/>
          <w:sz w:val="28"/>
          <w:szCs w:val="28"/>
        </w:rPr>
        <w:t xml:space="preserve">по данной статье </w:t>
      </w:r>
      <w:r>
        <w:rPr>
          <w:snapToGrid w:val="0"/>
          <w:sz w:val="28"/>
          <w:szCs w:val="28"/>
        </w:rPr>
        <w:t xml:space="preserve">не </w:t>
      </w:r>
      <w:r w:rsidR="008270F0">
        <w:rPr>
          <w:snapToGrid w:val="0"/>
          <w:sz w:val="28"/>
          <w:szCs w:val="28"/>
        </w:rPr>
        <w:t>прогнозировались</w:t>
      </w:r>
      <w:r w:rsidR="00996195">
        <w:rPr>
          <w:snapToGrid w:val="0"/>
          <w:sz w:val="28"/>
          <w:szCs w:val="28"/>
        </w:rPr>
        <w:t xml:space="preserve">, в тоже время </w:t>
      </w:r>
      <w:r>
        <w:rPr>
          <w:snapToGrid w:val="0"/>
          <w:sz w:val="28"/>
          <w:szCs w:val="28"/>
        </w:rPr>
        <w:t>ожидаемое поступление</w:t>
      </w:r>
      <w:r w:rsidR="008270F0">
        <w:rPr>
          <w:snapToGrid w:val="0"/>
          <w:sz w:val="28"/>
          <w:szCs w:val="28"/>
        </w:rPr>
        <w:t xml:space="preserve"> 2013 года</w:t>
      </w:r>
      <w:r>
        <w:rPr>
          <w:snapToGrid w:val="0"/>
          <w:sz w:val="28"/>
          <w:szCs w:val="28"/>
        </w:rPr>
        <w:t xml:space="preserve"> составляет </w:t>
      </w:r>
      <w:r w:rsidR="008270F0">
        <w:rPr>
          <w:snapToGrid w:val="0"/>
          <w:sz w:val="28"/>
          <w:szCs w:val="28"/>
        </w:rPr>
        <w:t>326,0</w:t>
      </w:r>
      <w:r>
        <w:rPr>
          <w:snapToGrid w:val="0"/>
          <w:sz w:val="28"/>
          <w:szCs w:val="28"/>
        </w:rPr>
        <w:t xml:space="preserve"> тыс</w:t>
      </w:r>
      <w:proofErr w:type="gramStart"/>
      <w:r>
        <w:rPr>
          <w:snapToGrid w:val="0"/>
          <w:sz w:val="28"/>
          <w:szCs w:val="28"/>
        </w:rPr>
        <w:t>.р</w:t>
      </w:r>
      <w:proofErr w:type="gramEnd"/>
      <w:r>
        <w:rPr>
          <w:snapToGrid w:val="0"/>
          <w:sz w:val="28"/>
          <w:szCs w:val="28"/>
        </w:rPr>
        <w:t>уб.</w:t>
      </w:r>
      <w:r w:rsidR="008270F0">
        <w:rPr>
          <w:snapToGrid w:val="0"/>
          <w:sz w:val="28"/>
          <w:szCs w:val="28"/>
        </w:rPr>
        <w:t xml:space="preserve"> На  2014 год прогноз доходов по данной статье составляет 30,0 тыс.руб.</w:t>
      </w:r>
      <w:r w:rsidR="00996195" w:rsidRPr="00996195">
        <w:rPr>
          <w:sz w:val="28"/>
          <w:szCs w:val="28"/>
        </w:rPr>
        <w:t xml:space="preserve"> </w:t>
      </w:r>
      <w:r w:rsidR="00996195">
        <w:rPr>
          <w:sz w:val="28"/>
          <w:szCs w:val="28"/>
        </w:rPr>
        <w:t>На плановый период 2015-2016гг. прогнозируется незначительное увеличение поступлений.</w:t>
      </w:r>
    </w:p>
    <w:p w:rsidR="006F06E6" w:rsidRDefault="00B8753B" w:rsidP="006F06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260A2">
        <w:rPr>
          <w:b/>
          <w:i/>
          <w:sz w:val="28"/>
          <w:szCs w:val="28"/>
        </w:rPr>
        <w:t>Доходы от продажи материальных и нематериальных активов.</w:t>
      </w:r>
      <w:r w:rsidRPr="00F260A2">
        <w:rPr>
          <w:sz w:val="28"/>
          <w:szCs w:val="28"/>
        </w:rPr>
        <w:t xml:space="preserve"> </w:t>
      </w:r>
      <w:r w:rsidR="006F06E6" w:rsidRPr="00F260A2">
        <w:rPr>
          <w:sz w:val="28"/>
          <w:szCs w:val="28"/>
        </w:rPr>
        <w:t>Прогноз по данной группе доходов на 201</w:t>
      </w:r>
      <w:r w:rsidR="00996195">
        <w:rPr>
          <w:sz w:val="28"/>
          <w:szCs w:val="28"/>
        </w:rPr>
        <w:t>4</w:t>
      </w:r>
      <w:r w:rsidR="006F06E6" w:rsidRPr="00F260A2">
        <w:rPr>
          <w:sz w:val="28"/>
          <w:szCs w:val="28"/>
        </w:rPr>
        <w:t xml:space="preserve"> год составл</w:t>
      </w:r>
      <w:r w:rsidR="00FD6990" w:rsidRPr="00F260A2">
        <w:rPr>
          <w:sz w:val="28"/>
          <w:szCs w:val="28"/>
        </w:rPr>
        <w:t>яет</w:t>
      </w:r>
      <w:r w:rsidR="006F06E6" w:rsidRPr="00F260A2">
        <w:rPr>
          <w:sz w:val="28"/>
          <w:szCs w:val="28"/>
        </w:rPr>
        <w:t xml:space="preserve"> </w:t>
      </w:r>
      <w:r w:rsidR="00996195">
        <w:rPr>
          <w:sz w:val="28"/>
          <w:szCs w:val="28"/>
        </w:rPr>
        <w:t>394,8</w:t>
      </w:r>
      <w:r w:rsidR="006F06E6" w:rsidRPr="00F260A2">
        <w:rPr>
          <w:sz w:val="28"/>
          <w:szCs w:val="28"/>
        </w:rPr>
        <w:t xml:space="preserve"> тыс. руб., что </w:t>
      </w:r>
      <w:r w:rsidR="00996195">
        <w:rPr>
          <w:sz w:val="28"/>
          <w:szCs w:val="28"/>
        </w:rPr>
        <w:t>больше</w:t>
      </w:r>
      <w:r w:rsidR="006F06E6" w:rsidRPr="00F260A2">
        <w:rPr>
          <w:sz w:val="28"/>
          <w:szCs w:val="28"/>
        </w:rPr>
        <w:t xml:space="preserve"> ожидаемого исполнения 201</w:t>
      </w:r>
      <w:r w:rsidR="00996195">
        <w:rPr>
          <w:sz w:val="28"/>
          <w:szCs w:val="28"/>
        </w:rPr>
        <w:t>3</w:t>
      </w:r>
      <w:r w:rsidR="006F06E6" w:rsidRPr="00F260A2">
        <w:rPr>
          <w:sz w:val="28"/>
          <w:szCs w:val="28"/>
        </w:rPr>
        <w:t xml:space="preserve"> года на </w:t>
      </w:r>
      <w:r w:rsidR="00996195">
        <w:rPr>
          <w:sz w:val="28"/>
          <w:szCs w:val="28"/>
        </w:rPr>
        <w:t>46,5</w:t>
      </w:r>
      <w:r w:rsidR="006F06E6" w:rsidRPr="00F260A2">
        <w:rPr>
          <w:sz w:val="28"/>
          <w:szCs w:val="28"/>
        </w:rPr>
        <w:t xml:space="preserve"> тыс</w:t>
      </w:r>
      <w:proofErr w:type="gramStart"/>
      <w:r w:rsidR="006F06E6" w:rsidRPr="00F260A2">
        <w:rPr>
          <w:sz w:val="28"/>
          <w:szCs w:val="28"/>
        </w:rPr>
        <w:t>.р</w:t>
      </w:r>
      <w:proofErr w:type="gramEnd"/>
      <w:r w:rsidR="006F06E6" w:rsidRPr="00F260A2">
        <w:rPr>
          <w:sz w:val="28"/>
          <w:szCs w:val="28"/>
        </w:rPr>
        <w:t>уб.</w:t>
      </w:r>
      <w:r w:rsidR="00F260A2" w:rsidRPr="00F260A2">
        <w:rPr>
          <w:sz w:val="28"/>
          <w:szCs w:val="28"/>
        </w:rPr>
        <w:t xml:space="preserve"> На плановый период 201</w:t>
      </w:r>
      <w:r w:rsidR="00996195">
        <w:rPr>
          <w:sz w:val="28"/>
          <w:szCs w:val="28"/>
        </w:rPr>
        <w:t>5</w:t>
      </w:r>
      <w:r w:rsidR="00F260A2" w:rsidRPr="00F260A2">
        <w:rPr>
          <w:sz w:val="28"/>
          <w:szCs w:val="28"/>
        </w:rPr>
        <w:t>-201</w:t>
      </w:r>
      <w:r w:rsidR="00996195">
        <w:rPr>
          <w:sz w:val="28"/>
          <w:szCs w:val="28"/>
        </w:rPr>
        <w:t>6</w:t>
      </w:r>
      <w:r w:rsidR="00F260A2" w:rsidRPr="00F260A2">
        <w:rPr>
          <w:sz w:val="28"/>
          <w:szCs w:val="28"/>
        </w:rPr>
        <w:t xml:space="preserve"> годов прогнозируется повышение показателей. Повышение</w:t>
      </w:r>
      <w:r w:rsidR="0046206A">
        <w:rPr>
          <w:sz w:val="28"/>
          <w:szCs w:val="28"/>
        </w:rPr>
        <w:t xml:space="preserve"> показателей</w:t>
      </w:r>
      <w:r w:rsidR="00F260A2" w:rsidRPr="00F260A2">
        <w:rPr>
          <w:sz w:val="28"/>
          <w:szCs w:val="28"/>
        </w:rPr>
        <w:t xml:space="preserve"> по данной статье доходов планируется за счет продажи земельных участков.</w:t>
      </w:r>
    </w:p>
    <w:p w:rsidR="00002C4F" w:rsidRPr="00F260A2" w:rsidRDefault="00002C4F" w:rsidP="006F06E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8753B" w:rsidRDefault="00B8753B" w:rsidP="00B8753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группе неналоговых доходов на 201</w:t>
      </w:r>
      <w:r w:rsidR="00996195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прогнозируется снижение поступлений по сравнению с ожидаемым исполнением 201</w:t>
      </w:r>
      <w:r w:rsidR="0099619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996195">
        <w:rPr>
          <w:sz w:val="28"/>
          <w:szCs w:val="28"/>
        </w:rPr>
        <w:t>192,9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996195">
        <w:rPr>
          <w:sz w:val="28"/>
          <w:szCs w:val="28"/>
        </w:rPr>
        <w:t>8,5</w:t>
      </w:r>
      <w:r>
        <w:rPr>
          <w:sz w:val="28"/>
          <w:szCs w:val="28"/>
        </w:rPr>
        <w:t>%. В плановом периоде 201</w:t>
      </w:r>
      <w:r w:rsidR="0099619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9619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планируется повышение поступлений по данной группе доходов. </w:t>
      </w:r>
    </w:p>
    <w:p w:rsidR="008F509F" w:rsidRDefault="008F509F" w:rsidP="008F509F">
      <w:pPr>
        <w:jc w:val="center"/>
        <w:rPr>
          <w:b/>
          <w:sz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«Баяндаевский район»</w:t>
      </w:r>
    </w:p>
    <w:p w:rsidR="008F509F" w:rsidRDefault="008F509F" w:rsidP="008F509F">
      <w:pPr>
        <w:ind w:firstLine="540"/>
        <w:jc w:val="center"/>
        <w:rPr>
          <w:b/>
          <w:sz w:val="28"/>
        </w:rPr>
      </w:pPr>
    </w:p>
    <w:p w:rsidR="008F509F" w:rsidRDefault="00F35E44" w:rsidP="008F509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3218AA">
        <w:rPr>
          <w:sz w:val="28"/>
        </w:rPr>
        <w:t xml:space="preserve">района </w:t>
      </w:r>
      <w:r w:rsidR="008F509F">
        <w:rPr>
          <w:sz w:val="28"/>
        </w:rPr>
        <w:t>на 201</w:t>
      </w:r>
      <w:r w:rsidR="00154E48">
        <w:rPr>
          <w:sz w:val="28"/>
        </w:rPr>
        <w:t>4</w:t>
      </w:r>
      <w:r w:rsidR="008F509F">
        <w:rPr>
          <w:sz w:val="28"/>
        </w:rPr>
        <w:t xml:space="preserve"> год предлагается утвердить в сумме </w:t>
      </w:r>
      <w:r w:rsidR="009B09AA" w:rsidRPr="009B09AA">
        <w:rPr>
          <w:b/>
          <w:sz w:val="28"/>
        </w:rPr>
        <w:t>282953,8</w:t>
      </w:r>
      <w:r w:rsidR="008F509F" w:rsidRPr="004523E1">
        <w:rPr>
          <w:sz w:val="28"/>
        </w:rPr>
        <w:t xml:space="preserve"> </w:t>
      </w:r>
      <w:r w:rsidR="008F509F" w:rsidRPr="004523E1">
        <w:rPr>
          <w:b/>
          <w:sz w:val="28"/>
        </w:rPr>
        <w:t>тыс. руб</w:t>
      </w:r>
      <w:r w:rsidR="008F509F" w:rsidRPr="004523E1">
        <w:rPr>
          <w:sz w:val="28"/>
        </w:rPr>
        <w:t xml:space="preserve">., что ниже ожидаемого исполнения бюджета </w:t>
      </w:r>
      <w:r w:rsidR="003218AA">
        <w:rPr>
          <w:sz w:val="28"/>
        </w:rPr>
        <w:t>района</w:t>
      </w:r>
      <w:r w:rsidR="008F509F" w:rsidRPr="004523E1">
        <w:rPr>
          <w:sz w:val="28"/>
        </w:rPr>
        <w:t xml:space="preserve"> </w:t>
      </w:r>
      <w:r w:rsidR="0046206A" w:rsidRPr="004523E1">
        <w:rPr>
          <w:sz w:val="28"/>
        </w:rPr>
        <w:t>201</w:t>
      </w:r>
      <w:r w:rsidR="009B09AA">
        <w:rPr>
          <w:sz w:val="28"/>
        </w:rPr>
        <w:t>3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9B09AA">
        <w:rPr>
          <w:sz w:val="28"/>
        </w:rPr>
        <w:t>202192,6</w:t>
      </w:r>
      <w:r w:rsidR="003218AA">
        <w:rPr>
          <w:sz w:val="28"/>
        </w:rPr>
        <w:t xml:space="preserve"> </w:t>
      </w:r>
      <w:r w:rsidR="008F509F" w:rsidRPr="004523E1">
        <w:rPr>
          <w:sz w:val="28"/>
        </w:rPr>
        <w:t>тыс</w:t>
      </w:r>
      <w:proofErr w:type="gramStart"/>
      <w:r w:rsidR="008F509F" w:rsidRPr="004523E1">
        <w:rPr>
          <w:sz w:val="28"/>
        </w:rPr>
        <w:t>.р</w:t>
      </w:r>
      <w:proofErr w:type="gramEnd"/>
      <w:r w:rsidR="008F509F" w:rsidRPr="004523E1">
        <w:rPr>
          <w:sz w:val="28"/>
        </w:rPr>
        <w:t xml:space="preserve">уб. или  на </w:t>
      </w:r>
      <w:r w:rsidR="00A7408C">
        <w:rPr>
          <w:sz w:val="28"/>
        </w:rPr>
        <w:t>41,7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A7408C">
        <w:rPr>
          <w:sz w:val="28"/>
        </w:rPr>
        <w:t>5</w:t>
      </w:r>
      <w:r w:rsidR="003218AA">
        <w:rPr>
          <w:sz w:val="28"/>
        </w:rPr>
        <w:t xml:space="preserve"> года объем расходов</w:t>
      </w:r>
      <w:r w:rsidR="00A7408C">
        <w:rPr>
          <w:sz w:val="28"/>
        </w:rPr>
        <w:t xml:space="preserve"> прогнозируется в сумме 296163,0</w:t>
      </w:r>
      <w:r w:rsidR="003218AA">
        <w:rPr>
          <w:sz w:val="28"/>
        </w:rPr>
        <w:t xml:space="preserve"> тыс.руб., на 201</w:t>
      </w:r>
      <w:r w:rsidR="00A7408C">
        <w:rPr>
          <w:sz w:val="28"/>
        </w:rPr>
        <w:t>6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A7408C">
        <w:rPr>
          <w:sz w:val="28"/>
        </w:rPr>
        <w:t>315611,6</w:t>
      </w:r>
      <w:r w:rsidR="00684520">
        <w:rPr>
          <w:sz w:val="28"/>
        </w:rPr>
        <w:t xml:space="preserve"> тыс.руб.</w:t>
      </w:r>
    </w:p>
    <w:p w:rsidR="008F509F" w:rsidRDefault="008F509F" w:rsidP="008F509F">
      <w:pPr>
        <w:ind w:firstLine="540"/>
        <w:jc w:val="both"/>
        <w:rPr>
          <w:szCs w:val="24"/>
        </w:rPr>
      </w:pPr>
      <w:r w:rsidRPr="008E5D46">
        <w:rPr>
          <w:sz w:val="28"/>
        </w:rPr>
        <w:lastRenderedPageBreak/>
        <w:t xml:space="preserve">Удельный вес  по разделам в общей сумме расходов приведен в таблице  </w:t>
      </w:r>
      <w:r>
        <w:rPr>
          <w:sz w:val="28"/>
        </w:rPr>
        <w:t>5</w:t>
      </w:r>
      <w:r w:rsidRPr="008E5D46">
        <w:rPr>
          <w:sz w:val="28"/>
        </w:rPr>
        <w:t>:</w:t>
      </w:r>
      <w:r>
        <w:rPr>
          <w:szCs w:val="24"/>
        </w:rPr>
        <w:t xml:space="preserve">                                                                                                                 </w:t>
      </w:r>
    </w:p>
    <w:p w:rsidR="008F509F" w:rsidRPr="00525511" w:rsidRDefault="008F509F" w:rsidP="008F509F">
      <w:pPr>
        <w:ind w:firstLine="540"/>
        <w:jc w:val="right"/>
        <w:rPr>
          <w:szCs w:val="24"/>
        </w:rPr>
      </w:pPr>
      <w:r w:rsidRPr="00525511">
        <w:rPr>
          <w:szCs w:val="24"/>
        </w:rPr>
        <w:t xml:space="preserve">Таблица </w:t>
      </w:r>
      <w:r w:rsidR="00525511">
        <w:rPr>
          <w:szCs w:val="24"/>
        </w:rPr>
        <w:t>5</w:t>
      </w:r>
    </w:p>
    <w:tbl>
      <w:tblPr>
        <w:tblW w:w="9498" w:type="dxa"/>
        <w:tblInd w:w="108" w:type="dxa"/>
        <w:tblLayout w:type="fixed"/>
        <w:tblLook w:val="0000"/>
      </w:tblPr>
      <w:tblGrid>
        <w:gridCol w:w="2410"/>
        <w:gridCol w:w="1134"/>
        <w:gridCol w:w="709"/>
        <w:gridCol w:w="992"/>
        <w:gridCol w:w="709"/>
        <w:gridCol w:w="992"/>
        <w:gridCol w:w="709"/>
        <w:gridCol w:w="1134"/>
        <w:gridCol w:w="709"/>
      </w:tblGrid>
      <w:tr w:rsidR="009F7C7B" w:rsidTr="00992346">
        <w:trPr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7C7B" w:rsidRPr="00992346" w:rsidRDefault="009F7C7B" w:rsidP="00284AB8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Ожидаемое исполнение за 201</w:t>
            </w:r>
            <w:r w:rsidR="00284AB8">
              <w:rPr>
                <w:bCs/>
                <w:sz w:val="20"/>
              </w:rPr>
              <w:t>3</w:t>
            </w:r>
            <w:r w:rsidRPr="00992346">
              <w:rPr>
                <w:bCs/>
                <w:sz w:val="20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84AB8" w:rsidRDefault="009F7C7B" w:rsidP="00284AB8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 xml:space="preserve">Прогноз </w:t>
            </w:r>
          </w:p>
          <w:p w:rsidR="009F7C7B" w:rsidRPr="00992346" w:rsidRDefault="009F7C7B" w:rsidP="00284AB8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на 201</w:t>
            </w:r>
            <w:r w:rsidR="00284AB8">
              <w:rPr>
                <w:bCs/>
                <w:sz w:val="20"/>
              </w:rPr>
              <w:t>4</w:t>
            </w:r>
            <w:r w:rsidRPr="00992346">
              <w:rPr>
                <w:bCs/>
                <w:sz w:val="20"/>
              </w:rPr>
              <w:t xml:space="preserve">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C7B" w:rsidRPr="00992346" w:rsidRDefault="009F7C7B" w:rsidP="009F7C7B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 xml:space="preserve">Плановый период </w:t>
            </w:r>
          </w:p>
        </w:tc>
      </w:tr>
      <w:tr w:rsidR="009F7C7B" w:rsidTr="00992346">
        <w:trPr>
          <w:trHeight w:val="4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C7B" w:rsidRPr="00992346" w:rsidRDefault="009F7C7B" w:rsidP="00284AB8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201</w:t>
            </w:r>
            <w:r w:rsidR="00284AB8">
              <w:rPr>
                <w:bCs/>
                <w:sz w:val="20"/>
              </w:rPr>
              <w:t>5</w:t>
            </w:r>
            <w:r w:rsidRPr="00992346">
              <w:rPr>
                <w:bCs/>
                <w:sz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C7B" w:rsidRPr="00992346" w:rsidRDefault="009F7C7B" w:rsidP="00284AB8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201</w:t>
            </w:r>
            <w:r w:rsidR="00284AB8">
              <w:rPr>
                <w:bCs/>
                <w:sz w:val="20"/>
              </w:rPr>
              <w:t>6</w:t>
            </w:r>
            <w:r w:rsidRPr="00992346">
              <w:rPr>
                <w:bCs/>
                <w:sz w:val="20"/>
              </w:rPr>
              <w:t xml:space="preserve"> год</w:t>
            </w:r>
          </w:p>
        </w:tc>
      </w:tr>
      <w:tr w:rsidR="009F7C7B" w:rsidTr="00992346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C7B" w:rsidRPr="00992346" w:rsidRDefault="009F7C7B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уд</w:t>
            </w:r>
            <w:proofErr w:type="gramStart"/>
            <w:r w:rsidRPr="00992346">
              <w:rPr>
                <w:bCs/>
                <w:sz w:val="20"/>
              </w:rPr>
              <w:t>.</w:t>
            </w:r>
            <w:proofErr w:type="gramEnd"/>
            <w:r w:rsidRPr="00992346">
              <w:rPr>
                <w:bCs/>
                <w:sz w:val="20"/>
              </w:rPr>
              <w:t xml:space="preserve"> </w:t>
            </w:r>
            <w:proofErr w:type="gramStart"/>
            <w:r w:rsidRPr="00992346">
              <w:rPr>
                <w:bCs/>
                <w:sz w:val="20"/>
              </w:rPr>
              <w:t>в</w:t>
            </w:r>
            <w:proofErr w:type="gramEnd"/>
            <w:r w:rsidRPr="00992346">
              <w:rPr>
                <w:bCs/>
                <w:sz w:val="20"/>
              </w:rPr>
              <w:t xml:space="preserve">ес  </w:t>
            </w:r>
          </w:p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уд</w:t>
            </w:r>
            <w:proofErr w:type="gramStart"/>
            <w:r w:rsidRPr="00992346">
              <w:rPr>
                <w:bCs/>
                <w:sz w:val="20"/>
              </w:rPr>
              <w:t>.</w:t>
            </w:r>
            <w:proofErr w:type="gramEnd"/>
            <w:r w:rsidRPr="00992346">
              <w:rPr>
                <w:bCs/>
                <w:sz w:val="20"/>
              </w:rPr>
              <w:t xml:space="preserve"> </w:t>
            </w:r>
            <w:proofErr w:type="gramStart"/>
            <w:r w:rsidRPr="00992346">
              <w:rPr>
                <w:bCs/>
                <w:sz w:val="20"/>
              </w:rPr>
              <w:t>в</w:t>
            </w:r>
            <w:proofErr w:type="gramEnd"/>
            <w:r w:rsidRPr="00992346">
              <w:rPr>
                <w:bCs/>
                <w:sz w:val="20"/>
              </w:rPr>
              <w:t xml:space="preserve">ес  </w:t>
            </w:r>
          </w:p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уд</w:t>
            </w:r>
            <w:proofErr w:type="gramStart"/>
            <w:r w:rsidRPr="00992346">
              <w:rPr>
                <w:bCs/>
                <w:sz w:val="20"/>
              </w:rPr>
              <w:t>.</w:t>
            </w:r>
            <w:proofErr w:type="gramEnd"/>
            <w:r w:rsidRPr="00992346">
              <w:rPr>
                <w:bCs/>
                <w:sz w:val="20"/>
              </w:rPr>
              <w:t xml:space="preserve"> </w:t>
            </w:r>
            <w:proofErr w:type="gramStart"/>
            <w:r w:rsidRPr="00992346">
              <w:rPr>
                <w:bCs/>
                <w:sz w:val="20"/>
              </w:rPr>
              <w:t>в</w:t>
            </w:r>
            <w:proofErr w:type="gramEnd"/>
            <w:r w:rsidRPr="00992346">
              <w:rPr>
                <w:bCs/>
                <w:sz w:val="20"/>
              </w:rPr>
              <w:t xml:space="preserve">ес  </w:t>
            </w:r>
          </w:p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7B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уд</w:t>
            </w:r>
            <w:proofErr w:type="gramStart"/>
            <w:r w:rsidRPr="00992346">
              <w:rPr>
                <w:bCs/>
                <w:sz w:val="20"/>
              </w:rPr>
              <w:t>.</w:t>
            </w:r>
            <w:proofErr w:type="gramEnd"/>
            <w:r w:rsidRPr="00992346">
              <w:rPr>
                <w:bCs/>
                <w:sz w:val="20"/>
              </w:rPr>
              <w:t xml:space="preserve"> </w:t>
            </w:r>
            <w:proofErr w:type="gramStart"/>
            <w:r w:rsidRPr="00992346">
              <w:rPr>
                <w:bCs/>
                <w:sz w:val="20"/>
              </w:rPr>
              <w:t>в</w:t>
            </w:r>
            <w:proofErr w:type="gramEnd"/>
            <w:r w:rsidRPr="00992346">
              <w:rPr>
                <w:bCs/>
                <w:sz w:val="20"/>
              </w:rPr>
              <w:t xml:space="preserve">ес  </w:t>
            </w:r>
          </w:p>
          <w:p w:rsidR="009F7C7B" w:rsidRPr="00992346" w:rsidRDefault="009F7C7B" w:rsidP="00164143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%</w:t>
            </w:r>
          </w:p>
        </w:tc>
      </w:tr>
      <w:tr w:rsidR="00164143" w:rsidTr="00992346">
        <w:trPr>
          <w:trHeight w:val="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43" w:rsidRPr="00992346" w:rsidRDefault="00164143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143" w:rsidRPr="00992346" w:rsidRDefault="009F7C7B" w:rsidP="008836C0">
            <w:pPr>
              <w:jc w:val="center"/>
              <w:rPr>
                <w:bCs/>
                <w:sz w:val="20"/>
              </w:rPr>
            </w:pPr>
            <w:r w:rsidRPr="00992346">
              <w:rPr>
                <w:bCs/>
                <w:sz w:val="20"/>
              </w:rPr>
              <w:t>12</w:t>
            </w:r>
          </w:p>
        </w:tc>
      </w:tr>
      <w:tr w:rsidR="00164143" w:rsidTr="00992346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164143" w:rsidTr="00C02B99">
        <w:trPr>
          <w:trHeight w:val="4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246841,8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263966,5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83,64</w:t>
            </w:r>
          </w:p>
        </w:tc>
      </w:tr>
      <w:tr w:rsidR="00164143" w:rsidTr="00C02B99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68452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164143" w:rsidTr="00992346">
        <w:trPr>
          <w:trHeight w:val="4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Default="00164143" w:rsidP="00684520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t xml:space="preserve"> </w:t>
            </w:r>
            <w:r w:rsidRPr="00F160F4">
              <w:rPr>
                <w:sz w:val="22"/>
                <w:szCs w:val="22"/>
              </w:rPr>
              <w:t>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684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825F6F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43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 w:rsidR="0080123B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B" w:rsidRDefault="0080123B" w:rsidP="00684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B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3B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3B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3B" w:rsidRPr="00992346" w:rsidRDefault="0028246A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371A69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3B" w:rsidRPr="00992346" w:rsidRDefault="00B43963" w:rsidP="00801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164143" w:rsidTr="009923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F160F4" w:rsidRDefault="00164143" w:rsidP="008836C0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28246A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371A69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282953,8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43" w:rsidRPr="00992346" w:rsidRDefault="0028246A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371A69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296263,0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371A69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315611,6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143" w:rsidRPr="00992346" w:rsidRDefault="00B43963" w:rsidP="008012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</w:tbl>
    <w:p w:rsidR="008F509F" w:rsidRDefault="008F509F" w:rsidP="008F509F">
      <w:pPr>
        <w:ind w:firstLine="540"/>
        <w:jc w:val="both"/>
        <w:rPr>
          <w:sz w:val="28"/>
        </w:rPr>
      </w:pPr>
    </w:p>
    <w:p w:rsidR="008F509F" w:rsidRDefault="008F509F" w:rsidP="008F509F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В 201</w:t>
      </w:r>
      <w:r w:rsidR="00222F06">
        <w:rPr>
          <w:sz w:val="28"/>
        </w:rPr>
        <w:t>3</w:t>
      </w:r>
      <w:r>
        <w:rPr>
          <w:sz w:val="28"/>
        </w:rPr>
        <w:t xml:space="preserve"> году наибольший удельный вес в общей сумме расходов  бюджета </w:t>
      </w:r>
      <w:r w:rsidR="002D1663">
        <w:rPr>
          <w:sz w:val="28"/>
        </w:rPr>
        <w:t>Баяндаевского района</w:t>
      </w:r>
      <w:r>
        <w:rPr>
          <w:sz w:val="28"/>
        </w:rPr>
        <w:t xml:space="preserve"> занимают расходы на </w:t>
      </w:r>
      <w:r w:rsidR="002D1663">
        <w:rPr>
          <w:sz w:val="28"/>
        </w:rPr>
        <w:t>образование</w:t>
      </w:r>
      <w:r>
        <w:rPr>
          <w:sz w:val="28"/>
        </w:rPr>
        <w:t xml:space="preserve"> </w:t>
      </w:r>
      <w:r w:rsidR="002D1663">
        <w:rPr>
          <w:sz w:val="28"/>
        </w:rPr>
        <w:t xml:space="preserve">– </w:t>
      </w:r>
      <w:r w:rsidR="00222F06">
        <w:rPr>
          <w:sz w:val="28"/>
        </w:rPr>
        <w:t>81,65</w:t>
      </w:r>
      <w:r w:rsidR="002D1663">
        <w:rPr>
          <w:sz w:val="28"/>
        </w:rPr>
        <w:t>%</w:t>
      </w:r>
      <w:r>
        <w:rPr>
          <w:sz w:val="28"/>
        </w:rPr>
        <w:t xml:space="preserve">, расходы на </w:t>
      </w:r>
      <w:r w:rsidR="002D1663">
        <w:rPr>
          <w:sz w:val="28"/>
        </w:rPr>
        <w:t>общегосударственные вопросы</w:t>
      </w:r>
      <w:r>
        <w:rPr>
          <w:sz w:val="28"/>
        </w:rPr>
        <w:t xml:space="preserve"> </w:t>
      </w:r>
      <w:r w:rsidR="002D1663">
        <w:rPr>
          <w:sz w:val="28"/>
        </w:rPr>
        <w:t xml:space="preserve">– </w:t>
      </w:r>
      <w:r w:rsidR="00222F06">
        <w:rPr>
          <w:sz w:val="28"/>
        </w:rPr>
        <w:t>8,53%, расходы на культуру – 3,81%.</w:t>
      </w:r>
      <w:r>
        <w:rPr>
          <w:sz w:val="28"/>
        </w:rPr>
        <w:t xml:space="preserve"> В 201</w:t>
      </w:r>
      <w:r w:rsidR="00222F06">
        <w:rPr>
          <w:sz w:val="28"/>
        </w:rPr>
        <w:t>4</w:t>
      </w:r>
      <w:r>
        <w:rPr>
          <w:sz w:val="28"/>
        </w:rPr>
        <w:t xml:space="preserve"> году структура расходов в целом не </w:t>
      </w:r>
      <w:r w:rsidR="002D1663">
        <w:rPr>
          <w:sz w:val="28"/>
        </w:rPr>
        <w:t>изменилась,</w:t>
      </w:r>
      <w:r>
        <w:rPr>
          <w:sz w:val="28"/>
        </w:rPr>
        <w:t xml:space="preserve"> </w:t>
      </w:r>
      <w:r w:rsidR="002D1663">
        <w:rPr>
          <w:sz w:val="28"/>
        </w:rPr>
        <w:t xml:space="preserve">наибольший </w:t>
      </w:r>
      <w:r>
        <w:rPr>
          <w:sz w:val="28"/>
        </w:rPr>
        <w:t xml:space="preserve">удельный вес в общей сумме расходов  бюджета </w:t>
      </w:r>
      <w:r w:rsidR="002D1663">
        <w:rPr>
          <w:sz w:val="28"/>
        </w:rPr>
        <w:t>района</w:t>
      </w:r>
      <w:r>
        <w:rPr>
          <w:sz w:val="28"/>
        </w:rPr>
        <w:t xml:space="preserve"> занимают расходы на </w:t>
      </w:r>
      <w:r w:rsidR="002D1663">
        <w:rPr>
          <w:sz w:val="28"/>
        </w:rPr>
        <w:t>образование</w:t>
      </w:r>
      <w:r>
        <w:rPr>
          <w:sz w:val="28"/>
        </w:rPr>
        <w:t xml:space="preserve"> </w:t>
      </w:r>
      <w:r w:rsidR="002D1663">
        <w:rPr>
          <w:sz w:val="28"/>
        </w:rPr>
        <w:t xml:space="preserve">– </w:t>
      </w:r>
      <w:r w:rsidR="00222F06">
        <w:rPr>
          <w:sz w:val="28"/>
        </w:rPr>
        <w:t>83,25</w:t>
      </w:r>
      <w:r>
        <w:rPr>
          <w:sz w:val="28"/>
        </w:rPr>
        <w:t>%,</w:t>
      </w:r>
      <w:r w:rsidR="002D1663">
        <w:rPr>
          <w:sz w:val="28"/>
        </w:rPr>
        <w:t xml:space="preserve"> </w:t>
      </w:r>
      <w:r w:rsidRPr="00845B6D">
        <w:rPr>
          <w:sz w:val="28"/>
        </w:rPr>
        <w:t xml:space="preserve">общегосударственные вопросы – </w:t>
      </w:r>
      <w:r w:rsidR="00222F06">
        <w:rPr>
          <w:sz w:val="28"/>
        </w:rPr>
        <w:t>6,83</w:t>
      </w:r>
      <w:r w:rsidRPr="00845B6D">
        <w:rPr>
          <w:sz w:val="28"/>
        </w:rPr>
        <w:t>%</w:t>
      </w:r>
      <w:r w:rsidR="00222F06">
        <w:rPr>
          <w:sz w:val="28"/>
        </w:rPr>
        <w:t>, расходы на социальную политику – 4,88%</w:t>
      </w:r>
      <w:r>
        <w:rPr>
          <w:sz w:val="28"/>
        </w:rPr>
        <w:t xml:space="preserve">. В </w:t>
      </w:r>
      <w:r w:rsidR="00222F06">
        <w:rPr>
          <w:sz w:val="28"/>
        </w:rPr>
        <w:t>плановом</w:t>
      </w:r>
      <w:proofErr w:type="gramEnd"/>
      <w:r w:rsidR="00222F06">
        <w:rPr>
          <w:sz w:val="28"/>
        </w:rPr>
        <w:t xml:space="preserve"> </w:t>
      </w:r>
      <w:proofErr w:type="gramStart"/>
      <w:r w:rsidR="00222F06">
        <w:rPr>
          <w:sz w:val="28"/>
        </w:rPr>
        <w:t>периоде</w:t>
      </w:r>
      <w:proofErr w:type="gramEnd"/>
      <w:r w:rsidR="00222F06">
        <w:rPr>
          <w:sz w:val="28"/>
        </w:rPr>
        <w:t xml:space="preserve"> 2015-2016 годов </w:t>
      </w:r>
      <w:r>
        <w:rPr>
          <w:sz w:val="28"/>
        </w:rPr>
        <w:t>структур</w:t>
      </w:r>
      <w:r w:rsidR="00222F06">
        <w:rPr>
          <w:sz w:val="28"/>
        </w:rPr>
        <w:t xml:space="preserve">а </w:t>
      </w:r>
      <w:r>
        <w:rPr>
          <w:sz w:val="28"/>
        </w:rPr>
        <w:t xml:space="preserve">расходов </w:t>
      </w:r>
      <w:r w:rsidR="00222F06">
        <w:rPr>
          <w:sz w:val="28"/>
        </w:rPr>
        <w:t>не изменяется.</w:t>
      </w:r>
      <w:r w:rsidR="002D1663">
        <w:rPr>
          <w:sz w:val="28"/>
        </w:rPr>
        <w:t xml:space="preserve"> </w:t>
      </w:r>
    </w:p>
    <w:p w:rsidR="00DE4C49" w:rsidRDefault="008F509F" w:rsidP="00DE4C49">
      <w:pPr>
        <w:ind w:firstLine="708"/>
        <w:jc w:val="both"/>
        <w:rPr>
          <w:sz w:val="28"/>
        </w:rPr>
      </w:pPr>
      <w:r>
        <w:rPr>
          <w:sz w:val="28"/>
        </w:rPr>
        <w:t>По сравнению с ожидаемым исполнением бюджета 201</w:t>
      </w:r>
      <w:r w:rsidR="00731D6B">
        <w:rPr>
          <w:sz w:val="28"/>
        </w:rPr>
        <w:t>3</w:t>
      </w:r>
      <w:r>
        <w:rPr>
          <w:sz w:val="28"/>
        </w:rPr>
        <w:t xml:space="preserve"> года</w:t>
      </w:r>
      <w:r w:rsidRPr="0016759C">
        <w:rPr>
          <w:sz w:val="28"/>
        </w:rPr>
        <w:t xml:space="preserve"> </w:t>
      </w:r>
      <w:r>
        <w:rPr>
          <w:sz w:val="28"/>
        </w:rPr>
        <w:t>удельный вес  расходов в 201</w:t>
      </w:r>
      <w:r w:rsidR="00731D6B">
        <w:rPr>
          <w:sz w:val="28"/>
        </w:rPr>
        <w:t>4</w:t>
      </w:r>
      <w:r>
        <w:rPr>
          <w:sz w:val="28"/>
        </w:rPr>
        <w:t xml:space="preserve"> году уменьшается</w:t>
      </w:r>
      <w:r w:rsidR="00DE4C49">
        <w:rPr>
          <w:sz w:val="28"/>
        </w:rPr>
        <w:t xml:space="preserve"> </w:t>
      </w:r>
      <w:r>
        <w:rPr>
          <w:sz w:val="28"/>
        </w:rPr>
        <w:t>по раздел</w:t>
      </w:r>
      <w:r w:rsidR="00DE4C49">
        <w:rPr>
          <w:sz w:val="28"/>
        </w:rPr>
        <w:t>ам:</w:t>
      </w:r>
    </w:p>
    <w:p w:rsidR="00731D6B" w:rsidRDefault="00731D6B" w:rsidP="00731D6B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«Общегосударственные вопросы»</w:t>
      </w:r>
      <w:r>
        <w:rPr>
          <w:sz w:val="28"/>
        </w:rPr>
        <w:t xml:space="preserve"> - на 1,7%;</w:t>
      </w:r>
    </w:p>
    <w:p w:rsidR="00DE4C49" w:rsidRDefault="00731D6B" w:rsidP="008F509F">
      <w:pPr>
        <w:ind w:firstLine="540"/>
        <w:jc w:val="both"/>
        <w:rPr>
          <w:sz w:val="28"/>
        </w:rPr>
      </w:pPr>
      <w:r>
        <w:rPr>
          <w:sz w:val="28"/>
        </w:rPr>
        <w:t>- «Культура» - на 1,8%;</w:t>
      </w:r>
    </w:p>
    <w:p w:rsidR="00731D6B" w:rsidRDefault="00731D6B" w:rsidP="00731D6B">
      <w:pPr>
        <w:ind w:firstLine="540"/>
        <w:jc w:val="both"/>
        <w:rPr>
          <w:sz w:val="28"/>
        </w:rPr>
      </w:pPr>
      <w:r>
        <w:rPr>
          <w:sz w:val="28"/>
        </w:rPr>
        <w:t>- «Физическая культура и спорт» - 0,25%;</w:t>
      </w:r>
    </w:p>
    <w:p w:rsidR="008F509F" w:rsidRDefault="008F509F" w:rsidP="00DE4C49">
      <w:pPr>
        <w:ind w:firstLine="708"/>
        <w:jc w:val="both"/>
        <w:rPr>
          <w:sz w:val="28"/>
        </w:rPr>
      </w:pPr>
      <w:r w:rsidRPr="008600AE">
        <w:rPr>
          <w:sz w:val="28"/>
        </w:rPr>
        <w:t xml:space="preserve">В то же время, </w:t>
      </w:r>
      <w:r>
        <w:rPr>
          <w:sz w:val="28"/>
        </w:rPr>
        <w:t xml:space="preserve">увеличился </w:t>
      </w:r>
      <w:r w:rsidRPr="008600AE">
        <w:rPr>
          <w:sz w:val="28"/>
        </w:rPr>
        <w:t>удельный вес расходов</w:t>
      </w:r>
      <w:r>
        <w:rPr>
          <w:sz w:val="28"/>
        </w:rPr>
        <w:t xml:space="preserve"> по разделам:</w:t>
      </w:r>
    </w:p>
    <w:p w:rsidR="00DE4C49" w:rsidRDefault="00426F71" w:rsidP="008F509F">
      <w:pPr>
        <w:ind w:firstLine="540"/>
        <w:jc w:val="both"/>
        <w:rPr>
          <w:sz w:val="28"/>
        </w:rPr>
      </w:pPr>
      <w:r>
        <w:rPr>
          <w:sz w:val="28"/>
        </w:rPr>
        <w:t>- «Образование» - на 1,6</w:t>
      </w:r>
      <w:r w:rsidR="00DE4C49">
        <w:rPr>
          <w:sz w:val="28"/>
        </w:rPr>
        <w:t>%;</w:t>
      </w:r>
    </w:p>
    <w:p w:rsidR="00DE4C49" w:rsidRDefault="00DE4C49" w:rsidP="008F509F">
      <w:pPr>
        <w:ind w:firstLine="540"/>
        <w:jc w:val="both"/>
        <w:rPr>
          <w:sz w:val="28"/>
        </w:rPr>
      </w:pPr>
      <w:r>
        <w:rPr>
          <w:sz w:val="28"/>
        </w:rPr>
        <w:t xml:space="preserve">- «Социальная политика» - на </w:t>
      </w:r>
      <w:r w:rsidR="00426F71">
        <w:rPr>
          <w:sz w:val="28"/>
        </w:rPr>
        <w:t>2,61</w:t>
      </w:r>
      <w:r>
        <w:rPr>
          <w:sz w:val="28"/>
        </w:rPr>
        <w:t>%;</w:t>
      </w:r>
    </w:p>
    <w:p w:rsidR="008F509F" w:rsidRDefault="008F509F" w:rsidP="008F509F">
      <w:pPr>
        <w:ind w:firstLine="540"/>
        <w:jc w:val="both"/>
        <w:rPr>
          <w:sz w:val="28"/>
        </w:rPr>
      </w:pPr>
      <w:r>
        <w:rPr>
          <w:sz w:val="28"/>
        </w:rPr>
        <w:t>- «</w:t>
      </w:r>
      <w:r w:rsidR="00DE4C49">
        <w:rPr>
          <w:sz w:val="28"/>
        </w:rPr>
        <w:t>С</w:t>
      </w:r>
      <w:r>
        <w:rPr>
          <w:sz w:val="28"/>
        </w:rPr>
        <w:t xml:space="preserve">редства массовой информации» - на </w:t>
      </w:r>
      <w:r w:rsidR="00DE4C49">
        <w:rPr>
          <w:sz w:val="28"/>
        </w:rPr>
        <w:t>0</w:t>
      </w:r>
      <w:r>
        <w:rPr>
          <w:sz w:val="28"/>
        </w:rPr>
        <w:t>,</w:t>
      </w:r>
      <w:r w:rsidR="00DE4C49">
        <w:rPr>
          <w:sz w:val="28"/>
        </w:rPr>
        <w:t>1</w:t>
      </w:r>
      <w:r>
        <w:rPr>
          <w:sz w:val="28"/>
        </w:rPr>
        <w:t>1</w:t>
      </w:r>
      <w:r w:rsidR="00EB0D7E">
        <w:rPr>
          <w:sz w:val="28"/>
        </w:rPr>
        <w:t>%.</w:t>
      </w:r>
    </w:p>
    <w:p w:rsidR="008836C0" w:rsidRDefault="008836C0" w:rsidP="008F509F">
      <w:pPr>
        <w:ind w:firstLine="540"/>
        <w:jc w:val="both"/>
        <w:rPr>
          <w:sz w:val="28"/>
        </w:rPr>
      </w:pPr>
    </w:p>
    <w:p w:rsidR="008836C0" w:rsidRDefault="00C02B99" w:rsidP="008836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8836C0" w:rsidRPr="00C34412">
        <w:rPr>
          <w:b/>
          <w:sz w:val="28"/>
          <w:szCs w:val="28"/>
        </w:rPr>
        <w:t>Расходы бюджета</w:t>
      </w:r>
      <w:r w:rsidR="008836C0">
        <w:rPr>
          <w:b/>
          <w:sz w:val="28"/>
          <w:szCs w:val="28"/>
        </w:rPr>
        <w:t xml:space="preserve"> МО «Баяндаевский район»</w:t>
      </w:r>
      <w:r w:rsidR="008836C0" w:rsidRPr="00C34412">
        <w:rPr>
          <w:b/>
          <w:sz w:val="28"/>
          <w:szCs w:val="28"/>
        </w:rPr>
        <w:t xml:space="preserve"> </w:t>
      </w:r>
      <w:r w:rsidR="008836C0">
        <w:rPr>
          <w:b/>
          <w:sz w:val="28"/>
          <w:szCs w:val="28"/>
        </w:rPr>
        <w:t>в разрезе разделов и подразд</w:t>
      </w:r>
      <w:r w:rsidR="00154E48">
        <w:rPr>
          <w:b/>
          <w:sz w:val="28"/>
          <w:szCs w:val="28"/>
        </w:rPr>
        <w:t>елов бюджетной классификации РФ</w:t>
      </w: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 w:rsidR="00525511">
        <w:rPr>
          <w:color w:val="000000"/>
          <w:szCs w:val="24"/>
        </w:rPr>
        <w:t>6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284AB8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284AB8">
              <w:rPr>
                <w:bCs/>
                <w:sz w:val="18"/>
                <w:szCs w:val="18"/>
              </w:rPr>
              <w:t>3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284AB8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284AB8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284AB8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284AB8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284AB8">
              <w:rPr>
                <w:bCs/>
                <w:sz w:val="18"/>
                <w:szCs w:val="18"/>
              </w:rPr>
              <w:t>3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284A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284AB8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284A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284AB8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284A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284AB8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284AB8">
              <w:rPr>
                <w:bCs/>
                <w:sz w:val="20"/>
              </w:rPr>
              <w:t>3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284A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284AB8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284AB8">
              <w:rPr>
                <w:bCs/>
                <w:sz w:val="20"/>
              </w:rPr>
              <w:t>3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26F71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-22088,8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</w:tr>
      <w:tr w:rsidR="00426F71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</w:tr>
      <w:tr w:rsidR="00426F71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</w:tr>
      <w:tr w:rsidR="00426F71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396141,6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235549,9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501B84" w:rsidRDefault="00555428" w:rsidP="008836C0">
            <w:pPr>
              <w:jc w:val="center"/>
              <w:rPr>
                <w:sz w:val="19"/>
                <w:szCs w:val="19"/>
              </w:rPr>
            </w:pPr>
            <w:r w:rsidRPr="00501B84">
              <w:rPr>
                <w:sz w:val="19"/>
                <w:szCs w:val="19"/>
              </w:rPr>
              <w:t>-160591,7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862975" w:rsidRDefault="00555428" w:rsidP="006E2B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6E2BD4">
              <w:rPr>
                <w:sz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246841,8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263966,5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66,6</w:t>
            </w:r>
          </w:p>
        </w:tc>
      </w:tr>
      <w:tr w:rsidR="00426F71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-12821,1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426F71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F71" w:rsidRPr="00862975" w:rsidRDefault="00250E1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127,7</w:t>
            </w:r>
          </w:p>
        </w:tc>
      </w:tr>
      <w:tr w:rsidR="00426F71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</w:tr>
      <w:tr w:rsidR="00426F71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-1334,4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 w:rsidR="00426F71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555428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-6421,2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46,2</w:t>
            </w:r>
          </w:p>
        </w:tc>
      </w:tr>
      <w:tr w:rsidR="00426F71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127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127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8836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123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8629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426F71" w:rsidRPr="00F160F4" w:rsidTr="00250E1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EE636A" w:rsidRDefault="00426F71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426F71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485146,4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992346" w:rsidRDefault="00426F71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250E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-202192,6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71" w:rsidRPr="00862975" w:rsidRDefault="00250E19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426F71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296263,0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992346" w:rsidRDefault="00426F71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71" w:rsidRPr="00862975" w:rsidRDefault="00250E19" w:rsidP="00250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65,1</w:t>
            </w:r>
          </w:p>
        </w:tc>
      </w:tr>
    </w:tbl>
    <w:p w:rsidR="008836C0" w:rsidRDefault="008836C0" w:rsidP="008836C0">
      <w:pPr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Как видно из таблицы</w:t>
      </w:r>
      <w:r w:rsidR="00525511">
        <w:rPr>
          <w:color w:val="000000"/>
          <w:sz w:val="28"/>
        </w:rPr>
        <w:t xml:space="preserve"> 6</w:t>
      </w:r>
      <w:r>
        <w:rPr>
          <w:color w:val="000000"/>
          <w:sz w:val="28"/>
        </w:rPr>
        <w:t xml:space="preserve"> в целом расходная часть бюджета 201</w:t>
      </w:r>
      <w:r w:rsidR="00501B84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ниже ожидаемого исполнения 20</w:t>
      </w:r>
      <w:r w:rsidR="00501B84">
        <w:rPr>
          <w:color w:val="000000"/>
          <w:sz w:val="28"/>
        </w:rPr>
        <w:t>13</w:t>
      </w:r>
      <w:r>
        <w:rPr>
          <w:color w:val="000000"/>
          <w:sz w:val="28"/>
        </w:rPr>
        <w:t xml:space="preserve"> года на </w:t>
      </w:r>
      <w:r w:rsidR="00501B84">
        <w:rPr>
          <w:color w:val="000000"/>
          <w:sz w:val="28"/>
        </w:rPr>
        <w:t>41,7</w:t>
      </w:r>
      <w:r>
        <w:rPr>
          <w:color w:val="000000"/>
          <w:sz w:val="28"/>
        </w:rPr>
        <w:t xml:space="preserve">% снижение расходов наблюдается </w:t>
      </w:r>
      <w:r w:rsidR="006D00A2">
        <w:rPr>
          <w:color w:val="000000"/>
          <w:sz w:val="28"/>
        </w:rPr>
        <w:t>практически по всем</w:t>
      </w:r>
      <w:r>
        <w:rPr>
          <w:color w:val="000000"/>
          <w:sz w:val="28"/>
        </w:rPr>
        <w:t xml:space="preserve"> разделам расходов, </w:t>
      </w:r>
      <w:r w:rsidR="00501B84">
        <w:rPr>
          <w:color w:val="000000"/>
          <w:sz w:val="28"/>
        </w:rPr>
        <w:t xml:space="preserve">лишь </w:t>
      </w:r>
      <w:r>
        <w:rPr>
          <w:color w:val="000000"/>
          <w:sz w:val="28"/>
        </w:rPr>
        <w:t xml:space="preserve">по </w:t>
      </w:r>
      <w:r w:rsidR="00501B84">
        <w:rPr>
          <w:color w:val="000000"/>
          <w:sz w:val="28"/>
        </w:rPr>
        <w:t>двум</w:t>
      </w:r>
      <w:r w:rsidR="006D00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раздел</w:t>
      </w:r>
      <w:r w:rsidR="00501B84">
        <w:rPr>
          <w:color w:val="000000"/>
          <w:sz w:val="28"/>
        </w:rPr>
        <w:t>ам</w:t>
      </w:r>
      <w:r>
        <w:rPr>
          <w:color w:val="000000"/>
          <w:sz w:val="28"/>
        </w:rPr>
        <w:t xml:space="preserve"> расходы  бюджета выросли, а именно по разделу</w:t>
      </w:r>
      <w:r w:rsidR="00501B84">
        <w:rPr>
          <w:color w:val="000000"/>
          <w:sz w:val="28"/>
        </w:rPr>
        <w:t xml:space="preserve"> «Социальная политика» - на 25,3% и</w:t>
      </w:r>
      <w:r>
        <w:rPr>
          <w:color w:val="000000"/>
          <w:sz w:val="28"/>
        </w:rPr>
        <w:t xml:space="preserve"> «</w:t>
      </w:r>
      <w:r w:rsidR="006D00A2">
        <w:rPr>
          <w:color w:val="000000"/>
          <w:sz w:val="28"/>
        </w:rPr>
        <w:t>Жилищно-коммунальное хозяйство»</w:t>
      </w:r>
      <w:r w:rsidR="00501B84">
        <w:rPr>
          <w:color w:val="000000"/>
          <w:sz w:val="28"/>
        </w:rPr>
        <w:t xml:space="preserve"> - на 14,3%</w:t>
      </w:r>
      <w:r w:rsidR="006D00A2">
        <w:rPr>
          <w:color w:val="000000"/>
          <w:sz w:val="28"/>
        </w:rPr>
        <w:t>. В плановом периоде 201</w:t>
      </w:r>
      <w:r w:rsidR="00501B84">
        <w:rPr>
          <w:color w:val="000000"/>
          <w:sz w:val="28"/>
        </w:rPr>
        <w:t>5</w:t>
      </w:r>
      <w:r w:rsidR="006D00A2">
        <w:rPr>
          <w:color w:val="000000"/>
          <w:sz w:val="28"/>
        </w:rPr>
        <w:t>-201</w:t>
      </w:r>
      <w:r w:rsidR="00501B84">
        <w:rPr>
          <w:color w:val="000000"/>
          <w:sz w:val="28"/>
        </w:rPr>
        <w:t>6</w:t>
      </w:r>
      <w:r w:rsidR="006D00A2">
        <w:rPr>
          <w:color w:val="000000"/>
          <w:sz w:val="28"/>
        </w:rPr>
        <w:t xml:space="preserve">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</w:t>
      </w:r>
      <w:proofErr w:type="gramEnd"/>
      <w:r w:rsidR="0046206A">
        <w:rPr>
          <w:color w:val="000000"/>
          <w:sz w:val="28"/>
        </w:rPr>
        <w:t xml:space="preserve"> 201</w:t>
      </w:r>
      <w:r w:rsidR="00501B84">
        <w:rPr>
          <w:color w:val="000000"/>
          <w:sz w:val="28"/>
        </w:rPr>
        <w:t>4</w:t>
      </w:r>
      <w:r w:rsidR="0046206A">
        <w:rPr>
          <w:color w:val="000000"/>
          <w:sz w:val="28"/>
        </w:rPr>
        <w:t xml:space="preserve"> год</w:t>
      </w:r>
      <w:r w:rsidR="006D00A2">
        <w:rPr>
          <w:color w:val="000000"/>
          <w:sz w:val="28"/>
        </w:rPr>
        <w:t xml:space="preserve"> не меняются.</w:t>
      </w:r>
    </w:p>
    <w:p w:rsidR="008836C0" w:rsidRDefault="008836C0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снижение расходов связано с уменьшением расходов за счет средств областного бюджета (на </w:t>
      </w:r>
      <w:r w:rsidR="00383F21">
        <w:rPr>
          <w:sz w:val="28"/>
          <w:szCs w:val="28"/>
        </w:rPr>
        <w:t>202522,5</w:t>
      </w:r>
      <w:r>
        <w:rPr>
          <w:sz w:val="28"/>
          <w:szCs w:val="28"/>
        </w:rPr>
        <w:t xml:space="preserve"> тыс. руб</w:t>
      </w:r>
      <w:r w:rsidR="006D00A2">
        <w:rPr>
          <w:sz w:val="28"/>
          <w:szCs w:val="28"/>
        </w:rPr>
        <w:t>.).</w:t>
      </w:r>
    </w:p>
    <w:p w:rsidR="00501B84" w:rsidRDefault="00191E01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бюджета района на 2014 год </w:t>
      </w:r>
      <w:r w:rsidR="006E2BD4">
        <w:rPr>
          <w:sz w:val="28"/>
          <w:szCs w:val="28"/>
        </w:rPr>
        <w:t xml:space="preserve">по отношению к текущему году </w:t>
      </w:r>
      <w:r>
        <w:rPr>
          <w:sz w:val="28"/>
          <w:szCs w:val="28"/>
        </w:rPr>
        <w:t>составляет 58,3%</w:t>
      </w:r>
      <w:r w:rsidR="006E2BD4">
        <w:rPr>
          <w:sz w:val="28"/>
          <w:szCs w:val="28"/>
        </w:rPr>
        <w:t xml:space="preserve">, по разделам: 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– 46,6%;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экономика – 64,9%;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– 114,3%;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– 59,5%;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культура – 30,7%;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политика – 125,3%;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 и спорт – 30%;</w:t>
      </w:r>
    </w:p>
    <w:p w:rsidR="006E2BD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массовой информации – 46,5%;</w:t>
      </w:r>
    </w:p>
    <w:p w:rsidR="00501B84" w:rsidRDefault="006E2BD4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– 47,3%.</w:t>
      </w:r>
    </w:p>
    <w:p w:rsidR="00501B84" w:rsidRDefault="00501B84" w:rsidP="00FA04F8">
      <w:pPr>
        <w:ind w:firstLine="540"/>
        <w:jc w:val="both"/>
        <w:rPr>
          <w:sz w:val="28"/>
          <w:szCs w:val="28"/>
        </w:rPr>
      </w:pPr>
    </w:p>
    <w:p w:rsidR="00FA04F8" w:rsidRDefault="00FA04F8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расходов в ведомственной структуре расходов представлена в </w:t>
      </w:r>
      <w:r w:rsidRPr="00CB4D83">
        <w:rPr>
          <w:sz w:val="28"/>
          <w:szCs w:val="28"/>
        </w:rPr>
        <w:t>таблице 7</w:t>
      </w:r>
    </w:p>
    <w:p w:rsidR="00FA04F8" w:rsidRPr="00C41CB8" w:rsidRDefault="00FA04F8" w:rsidP="00FA04F8">
      <w:pPr>
        <w:ind w:firstLine="540"/>
        <w:jc w:val="right"/>
      </w:pPr>
      <w:r>
        <w:t xml:space="preserve">Таблица </w:t>
      </w:r>
      <w:r w:rsidR="00525511">
        <w:t>7</w:t>
      </w:r>
    </w:p>
    <w:tbl>
      <w:tblPr>
        <w:tblpPr w:leftFromText="180" w:rightFromText="180" w:vertAnchor="text" w:horzAnchor="margin" w:tblpY="60"/>
        <w:tblW w:w="9571" w:type="dxa"/>
        <w:tblLook w:val="0000"/>
      </w:tblPr>
      <w:tblGrid>
        <w:gridCol w:w="2944"/>
        <w:gridCol w:w="1417"/>
        <w:gridCol w:w="850"/>
        <w:gridCol w:w="1276"/>
        <w:gridCol w:w="851"/>
        <w:gridCol w:w="1417"/>
        <w:gridCol w:w="816"/>
      </w:tblGrid>
      <w:tr w:rsidR="00FA04F8" w:rsidRPr="00C41CB8" w:rsidTr="002209CF">
        <w:trPr>
          <w:trHeight w:val="23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Главный распорядитель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4F8" w:rsidRDefault="00FA04F8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Бюджетные назначения на 201</w:t>
            </w:r>
            <w:r w:rsidR="00B94758">
              <w:rPr>
                <w:bCs/>
                <w:sz w:val="20"/>
              </w:rPr>
              <w:t>4</w:t>
            </w:r>
            <w:r w:rsidRPr="00FA04F8">
              <w:rPr>
                <w:bCs/>
                <w:sz w:val="20"/>
              </w:rPr>
              <w:t xml:space="preserve"> год</w:t>
            </w:r>
          </w:p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proofErr w:type="spellStart"/>
            <w:r w:rsidRPr="00FA04F8">
              <w:rPr>
                <w:bCs/>
                <w:sz w:val="20"/>
              </w:rPr>
              <w:t>Уд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FA04F8" w:rsidRPr="00C41CB8" w:rsidTr="002209CF">
        <w:trPr>
          <w:trHeight w:val="232"/>
        </w:trPr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1275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B9475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B94758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4F8" w:rsidRPr="00FA04F8" w:rsidRDefault="00FA04F8" w:rsidP="00B9475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B94758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год</w:t>
            </w:r>
          </w:p>
        </w:tc>
      </w:tr>
      <w:tr w:rsidR="002209CF" w:rsidRPr="00C41CB8" w:rsidTr="00525511">
        <w:trPr>
          <w:trHeight w:val="457"/>
        </w:trPr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525511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525511">
            <w:pPr>
              <w:jc w:val="center"/>
              <w:rPr>
                <w:bCs/>
                <w:sz w:val="20"/>
              </w:rPr>
            </w:pPr>
            <w:r w:rsidRPr="00FA04F8">
              <w:rPr>
                <w:bCs/>
                <w:sz w:val="20"/>
              </w:rPr>
              <w:t>тыс.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FA04F8" w:rsidP="00FA04F8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у</w:t>
            </w:r>
            <w:r w:rsidRPr="00FA04F8">
              <w:rPr>
                <w:bCs/>
                <w:sz w:val="20"/>
              </w:rPr>
              <w:t>д</w:t>
            </w:r>
            <w:proofErr w:type="gramStart"/>
            <w:r w:rsidRPr="00FA04F8">
              <w:rPr>
                <w:bCs/>
                <w:sz w:val="20"/>
              </w:rPr>
              <w:t>.в</w:t>
            </w:r>
            <w:proofErr w:type="gramEnd"/>
            <w:r w:rsidRPr="00FA04F8">
              <w:rPr>
                <w:bCs/>
                <w:sz w:val="20"/>
              </w:rPr>
              <w:t>ес</w:t>
            </w:r>
            <w:proofErr w:type="spellEnd"/>
            <w:r w:rsidRPr="00FA04F8">
              <w:rPr>
                <w:bCs/>
                <w:sz w:val="20"/>
              </w:rPr>
              <w:t xml:space="preserve">            (%)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 w:rsidRPr="00FA04F8">
              <w:t> Администрация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960EED" w:rsidP="00192EAC">
            <w:pPr>
              <w:jc w:val="center"/>
            </w:pPr>
            <w:r>
              <w:t>29141,5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026959" w:rsidP="00192EAC">
            <w:pPr>
              <w:jc w:val="center"/>
            </w:pPr>
            <w:r>
              <w:t>10,29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25135,4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8,49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20555,5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6,51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Финансовое управление администрации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960EED" w:rsidP="00192EAC">
            <w:pPr>
              <w:jc w:val="center"/>
            </w:pPr>
            <w:r>
              <w:t>7928,5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026959" w:rsidP="00192EAC">
            <w:pPr>
              <w:jc w:val="center"/>
            </w:pPr>
            <w: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7492,8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2,53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7065,1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2,24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Дума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960EED" w:rsidP="00192EAC">
            <w:pPr>
              <w:jc w:val="center"/>
            </w:pPr>
            <w:r>
              <w:t>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026959" w:rsidP="00192EAC">
            <w:pPr>
              <w:jc w:val="center"/>
            </w:pPr>
            <w: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429,7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320,7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0,10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КСП МО «Баяндаевский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960EED" w:rsidP="00192EAC">
            <w:pPr>
              <w:jc w:val="center"/>
            </w:pPr>
            <w:r>
              <w:t>856,1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026959" w:rsidP="00192EAC">
            <w:pPr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657,7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459,3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0,15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Управление образования Баяндаевского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960EED" w:rsidP="00192EAC">
            <w:pPr>
              <w:jc w:val="center"/>
            </w:pPr>
            <w:r>
              <w:t>237561,8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026959" w:rsidP="00192EAC">
            <w:pPr>
              <w:jc w:val="center"/>
            </w:pPr>
            <w:r>
              <w:t>83,96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249059,7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84,10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266390,4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84,40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FA04F8" w:rsidRDefault="00FA04F8" w:rsidP="00FA04F8">
            <w:r>
              <w:t>Баяндаевский 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960EED" w:rsidP="00192EAC">
            <w:pPr>
              <w:jc w:val="center"/>
            </w:pPr>
            <w:r>
              <w:t>6927,2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FA04F8" w:rsidRDefault="00026959" w:rsidP="00192EAC">
            <w:pPr>
              <w:jc w:val="center"/>
            </w:pPr>
            <w:r>
              <w:t>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5983,6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2,02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960EED" w:rsidP="00192EAC">
            <w:pPr>
              <w:jc w:val="center"/>
            </w:pPr>
            <w:r>
              <w:t>5040,0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FA04F8" w:rsidRDefault="00026959" w:rsidP="00192EAC">
            <w:pPr>
              <w:jc w:val="center"/>
            </w:pPr>
            <w:r>
              <w:t>1,60</w:t>
            </w:r>
          </w:p>
        </w:tc>
      </w:tr>
      <w:tr w:rsidR="00FA27DC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7DC" w:rsidRDefault="00FA27DC" w:rsidP="00FA04F8">
            <w:r>
              <w:t>Нераспределенные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DC" w:rsidRDefault="00960EED" w:rsidP="00192EA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DC" w:rsidRPr="00FA04F8" w:rsidRDefault="00026959" w:rsidP="00192EA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Default="00960EED" w:rsidP="00192EAC">
            <w:pPr>
              <w:jc w:val="center"/>
            </w:pPr>
            <w:r>
              <w:t>7404,1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FA04F8" w:rsidRDefault="00026959" w:rsidP="00192EAC">
            <w:pPr>
              <w:jc w:val="center"/>
            </w:pPr>
            <w: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Default="00960EED" w:rsidP="00192EAC">
            <w:pPr>
              <w:jc w:val="center"/>
            </w:pPr>
            <w:r>
              <w:t>15780,6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7DC" w:rsidRPr="00FA04F8" w:rsidRDefault="00026959" w:rsidP="00192EAC">
            <w:pPr>
              <w:jc w:val="center"/>
            </w:pPr>
            <w:r>
              <w:t>5,00</w:t>
            </w:r>
          </w:p>
        </w:tc>
      </w:tr>
      <w:tr w:rsidR="00A44EB3" w:rsidRPr="00C41CB8" w:rsidTr="002209CF">
        <w:trPr>
          <w:trHeight w:val="263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F8" w:rsidRPr="00192EAC" w:rsidRDefault="00FA04F8" w:rsidP="00FA04F8">
            <w:pPr>
              <w:rPr>
                <w:b/>
                <w:bCs/>
              </w:rPr>
            </w:pPr>
            <w:r w:rsidRPr="00192EA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192EAC" w:rsidRDefault="00960EED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282953,8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F8" w:rsidRPr="00192EAC" w:rsidRDefault="00026959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960EED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296163,0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026959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960EED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315611,6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F8" w:rsidRPr="00192EAC" w:rsidRDefault="00026959" w:rsidP="0019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FA04F8" w:rsidRDefault="00FA04F8" w:rsidP="00FA04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представленной таблицы, наибольший удельный вес по расходам</w:t>
      </w:r>
      <w:r w:rsidR="002209CF">
        <w:rPr>
          <w:sz w:val="28"/>
          <w:szCs w:val="28"/>
        </w:rPr>
        <w:t xml:space="preserve"> 201</w:t>
      </w:r>
      <w:r w:rsidR="00026959">
        <w:rPr>
          <w:sz w:val="28"/>
          <w:szCs w:val="28"/>
        </w:rPr>
        <w:t>4</w:t>
      </w:r>
      <w:r w:rsidR="002209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приходится на </w:t>
      </w:r>
      <w:r w:rsidR="002209CF">
        <w:rPr>
          <w:sz w:val="28"/>
          <w:szCs w:val="28"/>
        </w:rPr>
        <w:t>Управление образования района</w:t>
      </w:r>
      <w:r>
        <w:rPr>
          <w:sz w:val="28"/>
          <w:szCs w:val="28"/>
        </w:rPr>
        <w:t xml:space="preserve"> – </w:t>
      </w:r>
      <w:r w:rsidR="00026959">
        <w:rPr>
          <w:sz w:val="28"/>
          <w:szCs w:val="28"/>
        </w:rPr>
        <w:t>83,96</w:t>
      </w:r>
      <w:r>
        <w:rPr>
          <w:sz w:val="28"/>
          <w:szCs w:val="28"/>
        </w:rPr>
        <w:t xml:space="preserve">%  от общей суммы расходов бюджета или </w:t>
      </w:r>
      <w:r w:rsidR="00026959">
        <w:rPr>
          <w:sz w:val="28"/>
          <w:szCs w:val="28"/>
        </w:rPr>
        <w:t>237561,8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наименьший удельный вес в общей структуре расходов приходится на </w:t>
      </w:r>
      <w:r w:rsidR="002209CF">
        <w:rPr>
          <w:sz w:val="28"/>
          <w:szCs w:val="28"/>
        </w:rPr>
        <w:t>Думу МО «Баяндаевский район»</w:t>
      </w:r>
      <w:r>
        <w:rPr>
          <w:sz w:val="28"/>
          <w:szCs w:val="28"/>
        </w:rPr>
        <w:t xml:space="preserve"> – 0,</w:t>
      </w:r>
      <w:r w:rsidR="00026959">
        <w:rPr>
          <w:sz w:val="28"/>
          <w:szCs w:val="28"/>
        </w:rPr>
        <w:t>19</w:t>
      </w:r>
      <w:r>
        <w:rPr>
          <w:sz w:val="28"/>
          <w:szCs w:val="28"/>
        </w:rPr>
        <w:t xml:space="preserve">% или </w:t>
      </w:r>
      <w:r w:rsidR="00026959">
        <w:rPr>
          <w:sz w:val="28"/>
          <w:szCs w:val="28"/>
        </w:rPr>
        <w:t>538,7</w:t>
      </w:r>
      <w:r>
        <w:rPr>
          <w:sz w:val="28"/>
          <w:szCs w:val="28"/>
        </w:rPr>
        <w:t xml:space="preserve"> тыс.руб.</w:t>
      </w:r>
    </w:p>
    <w:p w:rsidR="00C02B99" w:rsidRDefault="00C02B99" w:rsidP="00FA04F8">
      <w:pPr>
        <w:ind w:firstLine="540"/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5317CC" w:rsidRDefault="005317CC" w:rsidP="002C1899">
      <w:pPr>
        <w:jc w:val="center"/>
        <w:rPr>
          <w:b/>
          <w:sz w:val="32"/>
        </w:rPr>
      </w:pP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</w:t>
      </w:r>
      <w:proofErr w:type="gramStart"/>
      <w:r w:rsidRPr="00AD15BD">
        <w:rPr>
          <w:sz w:val="28"/>
        </w:rPr>
        <w:t>документов, представленных одновременно с проектом бюджета соответствуют</w:t>
      </w:r>
      <w:proofErr w:type="gramEnd"/>
      <w:r w:rsidRPr="00AD15BD">
        <w:rPr>
          <w:sz w:val="28"/>
        </w:rPr>
        <w:t xml:space="preserve"> требованиям федерального бюджетного законодательства. </w:t>
      </w:r>
    </w:p>
    <w:p w:rsidR="002C1899" w:rsidRPr="00CC146F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CC146F">
        <w:rPr>
          <w:sz w:val="28"/>
        </w:rPr>
        <w:t xml:space="preserve">Принять  проект бюджета </w:t>
      </w:r>
      <w:r w:rsidR="00AD15BD" w:rsidRPr="00CC146F">
        <w:rPr>
          <w:sz w:val="28"/>
        </w:rPr>
        <w:t>Баяндаевского района</w:t>
      </w:r>
      <w:r w:rsidRPr="00CC146F">
        <w:rPr>
          <w:sz w:val="28"/>
          <w:szCs w:val="28"/>
        </w:rPr>
        <w:t xml:space="preserve"> на 201</w:t>
      </w:r>
      <w:r w:rsidR="00C92AAC">
        <w:rPr>
          <w:sz w:val="28"/>
          <w:szCs w:val="28"/>
        </w:rPr>
        <w:t>4</w:t>
      </w:r>
      <w:r w:rsidRPr="00CC146F">
        <w:rPr>
          <w:sz w:val="28"/>
          <w:szCs w:val="28"/>
        </w:rPr>
        <w:t xml:space="preserve"> год</w:t>
      </w:r>
      <w:r w:rsidR="00AD15BD" w:rsidRPr="00CC146F">
        <w:rPr>
          <w:sz w:val="28"/>
          <w:szCs w:val="28"/>
        </w:rPr>
        <w:t xml:space="preserve"> и плановый период 201</w:t>
      </w:r>
      <w:r w:rsidR="00C92AAC">
        <w:rPr>
          <w:sz w:val="28"/>
          <w:szCs w:val="28"/>
        </w:rPr>
        <w:t>5</w:t>
      </w:r>
      <w:r w:rsidR="00AD15BD" w:rsidRPr="00CC146F">
        <w:rPr>
          <w:sz w:val="28"/>
          <w:szCs w:val="28"/>
        </w:rPr>
        <w:t xml:space="preserve"> и 201</w:t>
      </w:r>
      <w:r w:rsidR="00C92AAC">
        <w:rPr>
          <w:sz w:val="28"/>
          <w:szCs w:val="28"/>
        </w:rPr>
        <w:t>6</w:t>
      </w:r>
      <w:r w:rsidR="00AD15BD" w:rsidRPr="00CC146F">
        <w:rPr>
          <w:sz w:val="28"/>
          <w:szCs w:val="28"/>
        </w:rPr>
        <w:t xml:space="preserve"> годов </w:t>
      </w:r>
      <w:r w:rsidRPr="00CC146F">
        <w:rPr>
          <w:sz w:val="28"/>
        </w:rPr>
        <w:t>при условии устранения замечаний, отраженных в настоящем заключении.</w:t>
      </w:r>
    </w:p>
    <w:p w:rsidR="00154564" w:rsidRPr="009102E2" w:rsidRDefault="00154564" w:rsidP="00A47435">
      <w:pPr>
        <w:ind w:firstLine="540"/>
        <w:jc w:val="both"/>
        <w:rPr>
          <w:sz w:val="28"/>
        </w:rPr>
      </w:pPr>
    </w:p>
    <w:p w:rsidR="005317CC" w:rsidRDefault="005317CC" w:rsidP="00A47435">
      <w:pPr>
        <w:ind w:firstLine="540"/>
        <w:jc w:val="both"/>
        <w:rPr>
          <w:sz w:val="28"/>
        </w:rPr>
      </w:pPr>
    </w:p>
    <w:p w:rsidR="005317CC" w:rsidRDefault="005317CC" w:rsidP="00A47435">
      <w:pPr>
        <w:ind w:firstLine="540"/>
        <w:jc w:val="both"/>
        <w:rPr>
          <w:sz w:val="28"/>
        </w:rPr>
      </w:pPr>
    </w:p>
    <w:p w:rsidR="007B209E" w:rsidRDefault="007B209E" w:rsidP="00A47435">
      <w:pPr>
        <w:ind w:firstLine="540"/>
        <w:jc w:val="both"/>
        <w:rPr>
          <w:sz w:val="28"/>
        </w:rPr>
      </w:pPr>
    </w:p>
    <w:p w:rsidR="00A47435" w:rsidRPr="009102E2" w:rsidRDefault="00154564" w:rsidP="001442F4">
      <w:pPr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</w:t>
      </w:r>
      <w:r w:rsidR="001442F4">
        <w:rPr>
          <w:sz w:val="28"/>
        </w:rPr>
        <w:tab/>
      </w:r>
      <w:r w:rsidR="00ED4133" w:rsidRPr="009102E2">
        <w:rPr>
          <w:sz w:val="28"/>
        </w:rPr>
        <w:t xml:space="preserve">                          </w:t>
      </w:r>
      <w:r w:rsidRPr="009102E2">
        <w:rPr>
          <w:sz w:val="28"/>
        </w:rPr>
        <w:t xml:space="preserve">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32" w:rsidRDefault="00527332">
      <w:r>
        <w:separator/>
      </w:r>
    </w:p>
  </w:endnote>
  <w:endnote w:type="continuationSeparator" w:id="0">
    <w:p w:rsidR="00527332" w:rsidRDefault="0052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23" w:rsidRDefault="00123A23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A23" w:rsidRDefault="00123A23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23" w:rsidRDefault="00123A23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4316">
      <w:rPr>
        <w:rStyle w:val="ab"/>
        <w:noProof/>
      </w:rPr>
      <w:t>11</w:t>
    </w:r>
    <w:r>
      <w:rPr>
        <w:rStyle w:val="ab"/>
      </w:rPr>
      <w:fldChar w:fldCharType="end"/>
    </w:r>
  </w:p>
  <w:p w:rsidR="00123A23" w:rsidRDefault="00123A23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32" w:rsidRDefault="00527332">
      <w:r>
        <w:separator/>
      </w:r>
    </w:p>
  </w:footnote>
  <w:footnote w:type="continuationSeparator" w:id="0">
    <w:p w:rsidR="00527332" w:rsidRDefault="0052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14727"/>
    <w:rsid w:val="000167C2"/>
    <w:rsid w:val="000237FE"/>
    <w:rsid w:val="00024ECC"/>
    <w:rsid w:val="00024F3B"/>
    <w:rsid w:val="00026959"/>
    <w:rsid w:val="00034D28"/>
    <w:rsid w:val="00036A08"/>
    <w:rsid w:val="00036CCE"/>
    <w:rsid w:val="00036EB6"/>
    <w:rsid w:val="00043EE5"/>
    <w:rsid w:val="00047EC0"/>
    <w:rsid w:val="000508A9"/>
    <w:rsid w:val="0005544F"/>
    <w:rsid w:val="00061019"/>
    <w:rsid w:val="000647C7"/>
    <w:rsid w:val="00070236"/>
    <w:rsid w:val="00072E33"/>
    <w:rsid w:val="00080D60"/>
    <w:rsid w:val="0008130E"/>
    <w:rsid w:val="000828BF"/>
    <w:rsid w:val="00082E18"/>
    <w:rsid w:val="00083AEC"/>
    <w:rsid w:val="00085DD9"/>
    <w:rsid w:val="00093A6C"/>
    <w:rsid w:val="00097209"/>
    <w:rsid w:val="00097D52"/>
    <w:rsid w:val="000A1C5B"/>
    <w:rsid w:val="000A42E5"/>
    <w:rsid w:val="000A5B08"/>
    <w:rsid w:val="000B0174"/>
    <w:rsid w:val="000B1EA8"/>
    <w:rsid w:val="000B72B1"/>
    <w:rsid w:val="000C226B"/>
    <w:rsid w:val="000C439B"/>
    <w:rsid w:val="000C5EBA"/>
    <w:rsid w:val="000D0C05"/>
    <w:rsid w:val="000D326F"/>
    <w:rsid w:val="000D3C66"/>
    <w:rsid w:val="000D56D5"/>
    <w:rsid w:val="000F2790"/>
    <w:rsid w:val="000F679F"/>
    <w:rsid w:val="001131F7"/>
    <w:rsid w:val="00114103"/>
    <w:rsid w:val="00114E81"/>
    <w:rsid w:val="001150C2"/>
    <w:rsid w:val="0012121C"/>
    <w:rsid w:val="00123A23"/>
    <w:rsid w:val="00124657"/>
    <w:rsid w:val="00126BCC"/>
    <w:rsid w:val="001275E8"/>
    <w:rsid w:val="001349E8"/>
    <w:rsid w:val="00136A6E"/>
    <w:rsid w:val="0014413C"/>
    <w:rsid w:val="001442F4"/>
    <w:rsid w:val="00153684"/>
    <w:rsid w:val="00154564"/>
    <w:rsid w:val="00154E34"/>
    <w:rsid w:val="00154E48"/>
    <w:rsid w:val="00155C0E"/>
    <w:rsid w:val="001576D0"/>
    <w:rsid w:val="00164143"/>
    <w:rsid w:val="00164800"/>
    <w:rsid w:val="00167D30"/>
    <w:rsid w:val="0018003D"/>
    <w:rsid w:val="00180679"/>
    <w:rsid w:val="00180C01"/>
    <w:rsid w:val="00180C2C"/>
    <w:rsid w:val="00181DD2"/>
    <w:rsid w:val="00184E73"/>
    <w:rsid w:val="0018515A"/>
    <w:rsid w:val="00185850"/>
    <w:rsid w:val="00191E01"/>
    <w:rsid w:val="00192EAC"/>
    <w:rsid w:val="001A1DA6"/>
    <w:rsid w:val="001A6D33"/>
    <w:rsid w:val="001C7C76"/>
    <w:rsid w:val="001D0BDF"/>
    <w:rsid w:val="001D33BC"/>
    <w:rsid w:val="001D55FB"/>
    <w:rsid w:val="001D6FE3"/>
    <w:rsid w:val="001E0A28"/>
    <w:rsid w:val="001E7F71"/>
    <w:rsid w:val="001F1930"/>
    <w:rsid w:val="001F5E31"/>
    <w:rsid w:val="001F613B"/>
    <w:rsid w:val="00202B65"/>
    <w:rsid w:val="00205B40"/>
    <w:rsid w:val="00211D65"/>
    <w:rsid w:val="00212B54"/>
    <w:rsid w:val="002130FA"/>
    <w:rsid w:val="00216038"/>
    <w:rsid w:val="002209CF"/>
    <w:rsid w:val="00222F06"/>
    <w:rsid w:val="002235B8"/>
    <w:rsid w:val="00223C4B"/>
    <w:rsid w:val="00224B9B"/>
    <w:rsid w:val="00232EAF"/>
    <w:rsid w:val="0024276A"/>
    <w:rsid w:val="00242FBA"/>
    <w:rsid w:val="00244FC1"/>
    <w:rsid w:val="00247163"/>
    <w:rsid w:val="00250E19"/>
    <w:rsid w:val="00250E97"/>
    <w:rsid w:val="00252E86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46A"/>
    <w:rsid w:val="00284AB8"/>
    <w:rsid w:val="00291CDC"/>
    <w:rsid w:val="002B385C"/>
    <w:rsid w:val="002C1899"/>
    <w:rsid w:val="002C385B"/>
    <w:rsid w:val="002C4679"/>
    <w:rsid w:val="002C4CD0"/>
    <w:rsid w:val="002C5BF3"/>
    <w:rsid w:val="002C6753"/>
    <w:rsid w:val="002D1126"/>
    <w:rsid w:val="002D1663"/>
    <w:rsid w:val="002D566B"/>
    <w:rsid w:val="002E1848"/>
    <w:rsid w:val="002E1A53"/>
    <w:rsid w:val="002E37CF"/>
    <w:rsid w:val="002E4316"/>
    <w:rsid w:val="002E4B37"/>
    <w:rsid w:val="002E77ED"/>
    <w:rsid w:val="002F718D"/>
    <w:rsid w:val="0030001A"/>
    <w:rsid w:val="003067DB"/>
    <w:rsid w:val="00310BA8"/>
    <w:rsid w:val="00310FB1"/>
    <w:rsid w:val="00311315"/>
    <w:rsid w:val="003120A7"/>
    <w:rsid w:val="00314150"/>
    <w:rsid w:val="003218AA"/>
    <w:rsid w:val="0032242C"/>
    <w:rsid w:val="00327D7C"/>
    <w:rsid w:val="003528B7"/>
    <w:rsid w:val="00362FE7"/>
    <w:rsid w:val="00366780"/>
    <w:rsid w:val="00371195"/>
    <w:rsid w:val="00371A69"/>
    <w:rsid w:val="003729E5"/>
    <w:rsid w:val="00373B6E"/>
    <w:rsid w:val="0037553A"/>
    <w:rsid w:val="00376606"/>
    <w:rsid w:val="00383F21"/>
    <w:rsid w:val="003862D2"/>
    <w:rsid w:val="003931F2"/>
    <w:rsid w:val="003948E0"/>
    <w:rsid w:val="003965C8"/>
    <w:rsid w:val="003A26FC"/>
    <w:rsid w:val="003B1AB7"/>
    <w:rsid w:val="003B3B9A"/>
    <w:rsid w:val="003B53D9"/>
    <w:rsid w:val="003B583D"/>
    <w:rsid w:val="003B7EA3"/>
    <w:rsid w:val="003C05CD"/>
    <w:rsid w:val="003C0B45"/>
    <w:rsid w:val="003C51CF"/>
    <w:rsid w:val="003C5337"/>
    <w:rsid w:val="003C7033"/>
    <w:rsid w:val="003D0133"/>
    <w:rsid w:val="003D234C"/>
    <w:rsid w:val="003E0F7F"/>
    <w:rsid w:val="003E72DE"/>
    <w:rsid w:val="00400231"/>
    <w:rsid w:val="004039B9"/>
    <w:rsid w:val="00403DFA"/>
    <w:rsid w:val="00405685"/>
    <w:rsid w:val="00414AA6"/>
    <w:rsid w:val="004177D4"/>
    <w:rsid w:val="00422DD7"/>
    <w:rsid w:val="00426F71"/>
    <w:rsid w:val="00432940"/>
    <w:rsid w:val="004339BD"/>
    <w:rsid w:val="0044058C"/>
    <w:rsid w:val="00445671"/>
    <w:rsid w:val="00451039"/>
    <w:rsid w:val="00456814"/>
    <w:rsid w:val="0046206A"/>
    <w:rsid w:val="00470CD0"/>
    <w:rsid w:val="00470F32"/>
    <w:rsid w:val="00472537"/>
    <w:rsid w:val="0047618E"/>
    <w:rsid w:val="00481710"/>
    <w:rsid w:val="00482815"/>
    <w:rsid w:val="00485E12"/>
    <w:rsid w:val="00486A38"/>
    <w:rsid w:val="0049071F"/>
    <w:rsid w:val="0049146A"/>
    <w:rsid w:val="004938E8"/>
    <w:rsid w:val="00497347"/>
    <w:rsid w:val="00497D68"/>
    <w:rsid w:val="004A13CA"/>
    <w:rsid w:val="004A1577"/>
    <w:rsid w:val="004A593C"/>
    <w:rsid w:val="004A6872"/>
    <w:rsid w:val="004B1E7D"/>
    <w:rsid w:val="004B4062"/>
    <w:rsid w:val="004B6A31"/>
    <w:rsid w:val="004C0156"/>
    <w:rsid w:val="004C6778"/>
    <w:rsid w:val="004D020E"/>
    <w:rsid w:val="004D0CB2"/>
    <w:rsid w:val="004D0F32"/>
    <w:rsid w:val="004E2DAD"/>
    <w:rsid w:val="004E67AF"/>
    <w:rsid w:val="004E7017"/>
    <w:rsid w:val="004E7A94"/>
    <w:rsid w:val="004E7E70"/>
    <w:rsid w:val="004F1E13"/>
    <w:rsid w:val="004F2C2F"/>
    <w:rsid w:val="004F39DE"/>
    <w:rsid w:val="00500824"/>
    <w:rsid w:val="00501B75"/>
    <w:rsid w:val="00501B84"/>
    <w:rsid w:val="00501B98"/>
    <w:rsid w:val="00503213"/>
    <w:rsid w:val="005059BF"/>
    <w:rsid w:val="00510BE1"/>
    <w:rsid w:val="00512C22"/>
    <w:rsid w:val="0051345B"/>
    <w:rsid w:val="00525511"/>
    <w:rsid w:val="00527332"/>
    <w:rsid w:val="00527BAA"/>
    <w:rsid w:val="005302C6"/>
    <w:rsid w:val="005317CC"/>
    <w:rsid w:val="005401E6"/>
    <w:rsid w:val="00541696"/>
    <w:rsid w:val="00545B74"/>
    <w:rsid w:val="00551263"/>
    <w:rsid w:val="0055318E"/>
    <w:rsid w:val="00555428"/>
    <w:rsid w:val="005635B5"/>
    <w:rsid w:val="0056385F"/>
    <w:rsid w:val="00566DBC"/>
    <w:rsid w:val="00571B4E"/>
    <w:rsid w:val="00582F07"/>
    <w:rsid w:val="00596618"/>
    <w:rsid w:val="00597DEA"/>
    <w:rsid w:val="005A1395"/>
    <w:rsid w:val="005A50FF"/>
    <w:rsid w:val="005A5476"/>
    <w:rsid w:val="005A670D"/>
    <w:rsid w:val="005B0A71"/>
    <w:rsid w:val="005C1DFE"/>
    <w:rsid w:val="005C327D"/>
    <w:rsid w:val="005C3AC0"/>
    <w:rsid w:val="005D3A86"/>
    <w:rsid w:val="005D4D8E"/>
    <w:rsid w:val="005E64E5"/>
    <w:rsid w:val="005F2447"/>
    <w:rsid w:val="005F3A94"/>
    <w:rsid w:val="005F5EAD"/>
    <w:rsid w:val="005F6DE3"/>
    <w:rsid w:val="005F775F"/>
    <w:rsid w:val="006144EF"/>
    <w:rsid w:val="0062514E"/>
    <w:rsid w:val="006308B1"/>
    <w:rsid w:val="00631B64"/>
    <w:rsid w:val="0063266B"/>
    <w:rsid w:val="00636767"/>
    <w:rsid w:val="00636A51"/>
    <w:rsid w:val="00644DFD"/>
    <w:rsid w:val="006473D0"/>
    <w:rsid w:val="0065007D"/>
    <w:rsid w:val="00651C7C"/>
    <w:rsid w:val="00654564"/>
    <w:rsid w:val="00655DDD"/>
    <w:rsid w:val="0066269A"/>
    <w:rsid w:val="00662928"/>
    <w:rsid w:val="00663CC1"/>
    <w:rsid w:val="006645BF"/>
    <w:rsid w:val="00667B9B"/>
    <w:rsid w:val="0067239D"/>
    <w:rsid w:val="00673A96"/>
    <w:rsid w:val="006740FD"/>
    <w:rsid w:val="006742A4"/>
    <w:rsid w:val="00674437"/>
    <w:rsid w:val="0068424D"/>
    <w:rsid w:val="00684520"/>
    <w:rsid w:val="00684F92"/>
    <w:rsid w:val="00693584"/>
    <w:rsid w:val="00694B1A"/>
    <w:rsid w:val="006973DF"/>
    <w:rsid w:val="0069795A"/>
    <w:rsid w:val="006A0CD4"/>
    <w:rsid w:val="006B3C45"/>
    <w:rsid w:val="006B4A49"/>
    <w:rsid w:val="006C0E6B"/>
    <w:rsid w:val="006C1023"/>
    <w:rsid w:val="006C7240"/>
    <w:rsid w:val="006D00A2"/>
    <w:rsid w:val="006D1B5A"/>
    <w:rsid w:val="006D695C"/>
    <w:rsid w:val="006E1759"/>
    <w:rsid w:val="006E18BA"/>
    <w:rsid w:val="006E2BD4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07FC"/>
    <w:rsid w:val="0071328A"/>
    <w:rsid w:val="00713532"/>
    <w:rsid w:val="00713E4F"/>
    <w:rsid w:val="00715A64"/>
    <w:rsid w:val="0072065A"/>
    <w:rsid w:val="007258B8"/>
    <w:rsid w:val="00727BBC"/>
    <w:rsid w:val="00731576"/>
    <w:rsid w:val="00731D6B"/>
    <w:rsid w:val="007331AC"/>
    <w:rsid w:val="00743B84"/>
    <w:rsid w:val="007477ED"/>
    <w:rsid w:val="00750245"/>
    <w:rsid w:val="0075447E"/>
    <w:rsid w:val="00754E55"/>
    <w:rsid w:val="00756D20"/>
    <w:rsid w:val="007607CA"/>
    <w:rsid w:val="00764062"/>
    <w:rsid w:val="0076467F"/>
    <w:rsid w:val="00772D17"/>
    <w:rsid w:val="00776E82"/>
    <w:rsid w:val="00781822"/>
    <w:rsid w:val="007954C7"/>
    <w:rsid w:val="00795539"/>
    <w:rsid w:val="0079724E"/>
    <w:rsid w:val="007A00B9"/>
    <w:rsid w:val="007A53FD"/>
    <w:rsid w:val="007A59A0"/>
    <w:rsid w:val="007B209E"/>
    <w:rsid w:val="007B25BE"/>
    <w:rsid w:val="007B6F20"/>
    <w:rsid w:val="007C0088"/>
    <w:rsid w:val="007C0406"/>
    <w:rsid w:val="007E07EB"/>
    <w:rsid w:val="007E0FF0"/>
    <w:rsid w:val="007E2D5C"/>
    <w:rsid w:val="007E3641"/>
    <w:rsid w:val="007E5320"/>
    <w:rsid w:val="007F035E"/>
    <w:rsid w:val="007F247A"/>
    <w:rsid w:val="007F7338"/>
    <w:rsid w:val="00800C2B"/>
    <w:rsid w:val="0080123B"/>
    <w:rsid w:val="00803199"/>
    <w:rsid w:val="00806DB2"/>
    <w:rsid w:val="00811C23"/>
    <w:rsid w:val="00815B38"/>
    <w:rsid w:val="00821266"/>
    <w:rsid w:val="0082576A"/>
    <w:rsid w:val="00825F6F"/>
    <w:rsid w:val="00826128"/>
    <w:rsid w:val="008262FE"/>
    <w:rsid w:val="00826EF4"/>
    <w:rsid w:val="008270F0"/>
    <w:rsid w:val="0083304A"/>
    <w:rsid w:val="00834467"/>
    <w:rsid w:val="00834618"/>
    <w:rsid w:val="00834D79"/>
    <w:rsid w:val="0083649D"/>
    <w:rsid w:val="00837456"/>
    <w:rsid w:val="00841F72"/>
    <w:rsid w:val="008456A0"/>
    <w:rsid w:val="00847898"/>
    <w:rsid w:val="00851B9F"/>
    <w:rsid w:val="00853FC2"/>
    <w:rsid w:val="00855248"/>
    <w:rsid w:val="00862975"/>
    <w:rsid w:val="00863BD8"/>
    <w:rsid w:val="00865B80"/>
    <w:rsid w:val="00866503"/>
    <w:rsid w:val="00876725"/>
    <w:rsid w:val="00880DC4"/>
    <w:rsid w:val="00881263"/>
    <w:rsid w:val="008822D1"/>
    <w:rsid w:val="008836C0"/>
    <w:rsid w:val="00885316"/>
    <w:rsid w:val="00886240"/>
    <w:rsid w:val="0089165B"/>
    <w:rsid w:val="0089649B"/>
    <w:rsid w:val="00896899"/>
    <w:rsid w:val="008A094A"/>
    <w:rsid w:val="008A4E1C"/>
    <w:rsid w:val="008A5CF7"/>
    <w:rsid w:val="008A5E4F"/>
    <w:rsid w:val="008B488D"/>
    <w:rsid w:val="008B7C9B"/>
    <w:rsid w:val="008C2D58"/>
    <w:rsid w:val="008C42E4"/>
    <w:rsid w:val="008C48B3"/>
    <w:rsid w:val="008C4D96"/>
    <w:rsid w:val="008C6816"/>
    <w:rsid w:val="008D1FAA"/>
    <w:rsid w:val="008D782F"/>
    <w:rsid w:val="008E5217"/>
    <w:rsid w:val="008E632C"/>
    <w:rsid w:val="008E7063"/>
    <w:rsid w:val="008F1A78"/>
    <w:rsid w:val="008F509F"/>
    <w:rsid w:val="0090316B"/>
    <w:rsid w:val="009053CE"/>
    <w:rsid w:val="0090613D"/>
    <w:rsid w:val="009102E2"/>
    <w:rsid w:val="00911B16"/>
    <w:rsid w:val="00914FA0"/>
    <w:rsid w:val="00915784"/>
    <w:rsid w:val="009209C4"/>
    <w:rsid w:val="0092482A"/>
    <w:rsid w:val="009323BF"/>
    <w:rsid w:val="009349EA"/>
    <w:rsid w:val="009360BB"/>
    <w:rsid w:val="0093713B"/>
    <w:rsid w:val="009412D2"/>
    <w:rsid w:val="0094256A"/>
    <w:rsid w:val="009474CC"/>
    <w:rsid w:val="009478E7"/>
    <w:rsid w:val="0095015C"/>
    <w:rsid w:val="00953BA2"/>
    <w:rsid w:val="00960EED"/>
    <w:rsid w:val="00961661"/>
    <w:rsid w:val="00966C33"/>
    <w:rsid w:val="009671DA"/>
    <w:rsid w:val="009674B6"/>
    <w:rsid w:val="0097419D"/>
    <w:rsid w:val="009754FA"/>
    <w:rsid w:val="0097752B"/>
    <w:rsid w:val="009827CD"/>
    <w:rsid w:val="00984D5B"/>
    <w:rsid w:val="009878C6"/>
    <w:rsid w:val="00992346"/>
    <w:rsid w:val="00995C93"/>
    <w:rsid w:val="00995D26"/>
    <w:rsid w:val="00996015"/>
    <w:rsid w:val="00996195"/>
    <w:rsid w:val="009A18CD"/>
    <w:rsid w:val="009A4B7B"/>
    <w:rsid w:val="009A7356"/>
    <w:rsid w:val="009A7A69"/>
    <w:rsid w:val="009B00C1"/>
    <w:rsid w:val="009B09AA"/>
    <w:rsid w:val="009B3A34"/>
    <w:rsid w:val="009B57C8"/>
    <w:rsid w:val="009B7A11"/>
    <w:rsid w:val="009D20AD"/>
    <w:rsid w:val="009D4E31"/>
    <w:rsid w:val="009E4496"/>
    <w:rsid w:val="009E7907"/>
    <w:rsid w:val="009F4946"/>
    <w:rsid w:val="009F7532"/>
    <w:rsid w:val="009F77EE"/>
    <w:rsid w:val="009F7C7B"/>
    <w:rsid w:val="00A0195E"/>
    <w:rsid w:val="00A02B00"/>
    <w:rsid w:val="00A03ADD"/>
    <w:rsid w:val="00A1315F"/>
    <w:rsid w:val="00A15BB4"/>
    <w:rsid w:val="00A260D8"/>
    <w:rsid w:val="00A35AE6"/>
    <w:rsid w:val="00A41B17"/>
    <w:rsid w:val="00A423D0"/>
    <w:rsid w:val="00A43396"/>
    <w:rsid w:val="00A44EB3"/>
    <w:rsid w:val="00A46338"/>
    <w:rsid w:val="00A47435"/>
    <w:rsid w:val="00A5347B"/>
    <w:rsid w:val="00A61DD4"/>
    <w:rsid w:val="00A676DC"/>
    <w:rsid w:val="00A72CB2"/>
    <w:rsid w:val="00A7408C"/>
    <w:rsid w:val="00A800C0"/>
    <w:rsid w:val="00A82D8F"/>
    <w:rsid w:val="00A84877"/>
    <w:rsid w:val="00A84FE8"/>
    <w:rsid w:val="00A924A4"/>
    <w:rsid w:val="00A94FA1"/>
    <w:rsid w:val="00A974B5"/>
    <w:rsid w:val="00AA2996"/>
    <w:rsid w:val="00AA3F81"/>
    <w:rsid w:val="00AA4EA0"/>
    <w:rsid w:val="00AB6C4D"/>
    <w:rsid w:val="00AC221A"/>
    <w:rsid w:val="00AC2318"/>
    <w:rsid w:val="00AD0975"/>
    <w:rsid w:val="00AD15BD"/>
    <w:rsid w:val="00AD2294"/>
    <w:rsid w:val="00AD5661"/>
    <w:rsid w:val="00AF5628"/>
    <w:rsid w:val="00AF748F"/>
    <w:rsid w:val="00B05B47"/>
    <w:rsid w:val="00B133B4"/>
    <w:rsid w:val="00B15EFA"/>
    <w:rsid w:val="00B16E3E"/>
    <w:rsid w:val="00B17C46"/>
    <w:rsid w:val="00B17D1F"/>
    <w:rsid w:val="00B203D7"/>
    <w:rsid w:val="00B233B5"/>
    <w:rsid w:val="00B24488"/>
    <w:rsid w:val="00B31982"/>
    <w:rsid w:val="00B40835"/>
    <w:rsid w:val="00B408C6"/>
    <w:rsid w:val="00B40E34"/>
    <w:rsid w:val="00B40EFC"/>
    <w:rsid w:val="00B431A2"/>
    <w:rsid w:val="00B43963"/>
    <w:rsid w:val="00B44F7F"/>
    <w:rsid w:val="00B4558B"/>
    <w:rsid w:val="00B538FF"/>
    <w:rsid w:val="00B56F8B"/>
    <w:rsid w:val="00B6035D"/>
    <w:rsid w:val="00B60841"/>
    <w:rsid w:val="00B67DB2"/>
    <w:rsid w:val="00B72498"/>
    <w:rsid w:val="00B747E2"/>
    <w:rsid w:val="00B75CFC"/>
    <w:rsid w:val="00B773D2"/>
    <w:rsid w:val="00B7743E"/>
    <w:rsid w:val="00B80B6F"/>
    <w:rsid w:val="00B83374"/>
    <w:rsid w:val="00B83EB1"/>
    <w:rsid w:val="00B851D4"/>
    <w:rsid w:val="00B86843"/>
    <w:rsid w:val="00B8753B"/>
    <w:rsid w:val="00B92037"/>
    <w:rsid w:val="00B92960"/>
    <w:rsid w:val="00B94758"/>
    <w:rsid w:val="00B96626"/>
    <w:rsid w:val="00B977E4"/>
    <w:rsid w:val="00BA2541"/>
    <w:rsid w:val="00BA7E66"/>
    <w:rsid w:val="00BB00D9"/>
    <w:rsid w:val="00BB1E49"/>
    <w:rsid w:val="00BB5144"/>
    <w:rsid w:val="00BC2841"/>
    <w:rsid w:val="00BC296F"/>
    <w:rsid w:val="00BD03B9"/>
    <w:rsid w:val="00BD1AF9"/>
    <w:rsid w:val="00BD6473"/>
    <w:rsid w:val="00BD68DF"/>
    <w:rsid w:val="00BE4096"/>
    <w:rsid w:val="00BE4696"/>
    <w:rsid w:val="00BE5B30"/>
    <w:rsid w:val="00BF0FD2"/>
    <w:rsid w:val="00BF3112"/>
    <w:rsid w:val="00BF32BD"/>
    <w:rsid w:val="00C02B99"/>
    <w:rsid w:val="00C03829"/>
    <w:rsid w:val="00C104BE"/>
    <w:rsid w:val="00C11307"/>
    <w:rsid w:val="00C236B8"/>
    <w:rsid w:val="00C370DC"/>
    <w:rsid w:val="00C377BA"/>
    <w:rsid w:val="00C44AA6"/>
    <w:rsid w:val="00C44BCE"/>
    <w:rsid w:val="00C45DB9"/>
    <w:rsid w:val="00C51F35"/>
    <w:rsid w:val="00C541E8"/>
    <w:rsid w:val="00C5552D"/>
    <w:rsid w:val="00C63EE6"/>
    <w:rsid w:val="00C746E4"/>
    <w:rsid w:val="00C74A44"/>
    <w:rsid w:val="00C7727F"/>
    <w:rsid w:val="00C77583"/>
    <w:rsid w:val="00C80208"/>
    <w:rsid w:val="00C848DA"/>
    <w:rsid w:val="00C851C2"/>
    <w:rsid w:val="00C86C57"/>
    <w:rsid w:val="00C876DF"/>
    <w:rsid w:val="00C879DF"/>
    <w:rsid w:val="00C90AF5"/>
    <w:rsid w:val="00C91747"/>
    <w:rsid w:val="00C91FC3"/>
    <w:rsid w:val="00C92AAC"/>
    <w:rsid w:val="00C93D98"/>
    <w:rsid w:val="00C955C1"/>
    <w:rsid w:val="00CA0856"/>
    <w:rsid w:val="00CB4DE5"/>
    <w:rsid w:val="00CC146F"/>
    <w:rsid w:val="00CC151F"/>
    <w:rsid w:val="00CC1FAA"/>
    <w:rsid w:val="00CC2D01"/>
    <w:rsid w:val="00CC566D"/>
    <w:rsid w:val="00CC5DB7"/>
    <w:rsid w:val="00CC7D23"/>
    <w:rsid w:val="00CD2F21"/>
    <w:rsid w:val="00CD3A74"/>
    <w:rsid w:val="00CD7C45"/>
    <w:rsid w:val="00CE011A"/>
    <w:rsid w:val="00CE7D13"/>
    <w:rsid w:val="00CF2C92"/>
    <w:rsid w:val="00CF38E2"/>
    <w:rsid w:val="00CF76D3"/>
    <w:rsid w:val="00D0111A"/>
    <w:rsid w:val="00D013EF"/>
    <w:rsid w:val="00D11C5D"/>
    <w:rsid w:val="00D20B6C"/>
    <w:rsid w:val="00D20C53"/>
    <w:rsid w:val="00D20DAF"/>
    <w:rsid w:val="00D2311B"/>
    <w:rsid w:val="00D253D8"/>
    <w:rsid w:val="00D260CC"/>
    <w:rsid w:val="00D26C04"/>
    <w:rsid w:val="00D319A7"/>
    <w:rsid w:val="00D377F6"/>
    <w:rsid w:val="00D42882"/>
    <w:rsid w:val="00D428FA"/>
    <w:rsid w:val="00D43E4A"/>
    <w:rsid w:val="00D4758F"/>
    <w:rsid w:val="00D4788A"/>
    <w:rsid w:val="00D501AC"/>
    <w:rsid w:val="00D52DD0"/>
    <w:rsid w:val="00D5530A"/>
    <w:rsid w:val="00D60CE7"/>
    <w:rsid w:val="00D61E43"/>
    <w:rsid w:val="00D63AFF"/>
    <w:rsid w:val="00D70AAA"/>
    <w:rsid w:val="00D724D6"/>
    <w:rsid w:val="00D74E6F"/>
    <w:rsid w:val="00D7667B"/>
    <w:rsid w:val="00D76DFD"/>
    <w:rsid w:val="00D8216F"/>
    <w:rsid w:val="00D83F7B"/>
    <w:rsid w:val="00D86301"/>
    <w:rsid w:val="00D86844"/>
    <w:rsid w:val="00D9356D"/>
    <w:rsid w:val="00D940A6"/>
    <w:rsid w:val="00DA231A"/>
    <w:rsid w:val="00DA53A7"/>
    <w:rsid w:val="00DB1B6C"/>
    <w:rsid w:val="00DB3E33"/>
    <w:rsid w:val="00DD3360"/>
    <w:rsid w:val="00DD3AB0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E018DE"/>
    <w:rsid w:val="00E0516A"/>
    <w:rsid w:val="00E06E20"/>
    <w:rsid w:val="00E12B9D"/>
    <w:rsid w:val="00E1496E"/>
    <w:rsid w:val="00E17907"/>
    <w:rsid w:val="00E25AA7"/>
    <w:rsid w:val="00E3008A"/>
    <w:rsid w:val="00E30FB7"/>
    <w:rsid w:val="00E34002"/>
    <w:rsid w:val="00E36AF9"/>
    <w:rsid w:val="00E4279E"/>
    <w:rsid w:val="00E475F7"/>
    <w:rsid w:val="00E47E1E"/>
    <w:rsid w:val="00E50498"/>
    <w:rsid w:val="00E51159"/>
    <w:rsid w:val="00E56CA2"/>
    <w:rsid w:val="00E57BDB"/>
    <w:rsid w:val="00E60A30"/>
    <w:rsid w:val="00E61F6C"/>
    <w:rsid w:val="00E62948"/>
    <w:rsid w:val="00E72F1D"/>
    <w:rsid w:val="00E73589"/>
    <w:rsid w:val="00E74029"/>
    <w:rsid w:val="00E75E8A"/>
    <w:rsid w:val="00E9586C"/>
    <w:rsid w:val="00E96A86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D04D5"/>
    <w:rsid w:val="00ED3B7E"/>
    <w:rsid w:val="00ED3D7F"/>
    <w:rsid w:val="00ED4133"/>
    <w:rsid w:val="00EE2F2B"/>
    <w:rsid w:val="00EE4263"/>
    <w:rsid w:val="00EE636A"/>
    <w:rsid w:val="00EE6EFF"/>
    <w:rsid w:val="00EE73CA"/>
    <w:rsid w:val="00EF13EC"/>
    <w:rsid w:val="00EF5E9B"/>
    <w:rsid w:val="00EF794A"/>
    <w:rsid w:val="00EF7A6C"/>
    <w:rsid w:val="00F00C97"/>
    <w:rsid w:val="00F0664E"/>
    <w:rsid w:val="00F11AF9"/>
    <w:rsid w:val="00F11EF9"/>
    <w:rsid w:val="00F133D4"/>
    <w:rsid w:val="00F154A1"/>
    <w:rsid w:val="00F260A2"/>
    <w:rsid w:val="00F35E44"/>
    <w:rsid w:val="00F35F82"/>
    <w:rsid w:val="00F409DC"/>
    <w:rsid w:val="00F43F86"/>
    <w:rsid w:val="00F46992"/>
    <w:rsid w:val="00F52BCC"/>
    <w:rsid w:val="00F6154F"/>
    <w:rsid w:val="00F63A6B"/>
    <w:rsid w:val="00F6606E"/>
    <w:rsid w:val="00F70818"/>
    <w:rsid w:val="00F72E29"/>
    <w:rsid w:val="00F97F68"/>
    <w:rsid w:val="00FA04F8"/>
    <w:rsid w:val="00FA27DC"/>
    <w:rsid w:val="00FA2869"/>
    <w:rsid w:val="00FA5979"/>
    <w:rsid w:val="00FA5BD4"/>
    <w:rsid w:val="00FB1E6C"/>
    <w:rsid w:val="00FD0929"/>
    <w:rsid w:val="00FD1716"/>
    <w:rsid w:val="00FD5D2E"/>
    <w:rsid w:val="00FD6482"/>
    <w:rsid w:val="00FD6990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5ED0-9D9C-4686-BE6A-EC8F2D4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11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85</cp:revision>
  <cp:lastPrinted>2013-11-26T23:48:00Z</cp:lastPrinted>
  <dcterms:created xsi:type="dcterms:W3CDTF">2013-11-18T23:31:00Z</dcterms:created>
  <dcterms:modified xsi:type="dcterms:W3CDTF">2013-11-27T01:36:00Z</dcterms:modified>
</cp:coreProperties>
</file>